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431F" w14:textId="77777777" w:rsidR="00064644" w:rsidRDefault="00064644" w:rsidP="00064644">
      <w:pPr>
        <w:pStyle w:val="Intestazione"/>
        <w:rPr>
          <w:rFonts w:ascii="Titillium Web" w:hAnsi="Titillium Web"/>
          <w:b/>
          <w:bCs/>
          <w:iCs/>
          <w:caps w:val="0"/>
          <w:color w:val="0070C0"/>
          <w:kern w:val="32"/>
          <w:sz w:val="30"/>
          <w:szCs w:val="32"/>
        </w:rPr>
      </w:pPr>
      <w:bookmarkStart w:id="0" w:name="_Ref505178367"/>
      <w:bookmarkStart w:id="1" w:name="_Toc86431585"/>
    </w:p>
    <w:p w14:paraId="2DE889B9" w14:textId="093BF400" w:rsidR="00064644" w:rsidRDefault="00064644" w:rsidP="00064644">
      <w:pPr>
        <w:pStyle w:val="Intestazione"/>
        <w:rPr>
          <w:rFonts w:ascii="Titillium Web" w:hAnsi="Titillium Web"/>
          <w:color w:val="auto"/>
          <w:sz w:val="56"/>
          <w:szCs w:val="56"/>
          <w:lang w:val="en-US"/>
        </w:rPr>
      </w:pPr>
      <w:bookmarkStart w:id="2" w:name="_Toc179689952"/>
      <w:r w:rsidRPr="00DB6837">
        <w:rPr>
          <w:rFonts w:ascii="Titillium Web" w:hAnsi="Titillium Web"/>
          <w:color w:val="auto"/>
          <w:sz w:val="56"/>
          <w:szCs w:val="56"/>
          <w:lang w:val="en-US"/>
        </w:rPr>
        <w:t>Product Category rules</w:t>
      </w:r>
    </w:p>
    <w:p w14:paraId="4CF84E88" w14:textId="77777777" w:rsidR="00064644" w:rsidRPr="00DB6837" w:rsidRDefault="00064644" w:rsidP="00064644">
      <w:pPr>
        <w:pStyle w:val="Intestazione"/>
        <w:rPr>
          <w:rFonts w:ascii="Titillium Web" w:hAnsi="Titillium Web"/>
          <w:color w:val="auto"/>
          <w:sz w:val="56"/>
          <w:szCs w:val="56"/>
          <w:lang w:val="en-US"/>
        </w:rPr>
      </w:pPr>
    </w:p>
    <w:p w14:paraId="6CE98674" w14:textId="77777777" w:rsidR="00064644" w:rsidRDefault="00064644" w:rsidP="00064644">
      <w:pPr>
        <w:pStyle w:val="RubrikInnehll"/>
        <w:ind w:left="-1418"/>
        <w:rPr>
          <w:lang w:val="en-US"/>
        </w:rPr>
      </w:pPr>
      <w:r>
        <w:rPr>
          <w:rFonts w:ascii="Titillium Web" w:hAnsi="Titillium Web"/>
          <w:noProof/>
        </w:rPr>
        <w:drawing>
          <wp:inline distT="0" distB="0" distL="0" distR="0" wp14:anchorId="1F34F153" wp14:editId="1B77F6AD">
            <wp:extent cx="7751134" cy="3540037"/>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8">
                      <a:extLst>
                        <a:ext uri="{28A0092B-C50C-407E-A947-70E740481C1C}">
                          <a14:useLocalDpi xmlns:a14="http://schemas.microsoft.com/office/drawing/2010/main" val="0"/>
                        </a:ext>
                      </a:extLst>
                    </a:blip>
                    <a:stretch>
                      <a:fillRect/>
                    </a:stretch>
                  </pic:blipFill>
                  <pic:spPr>
                    <a:xfrm>
                      <a:off x="0" y="0"/>
                      <a:ext cx="7804408" cy="3564368"/>
                    </a:xfrm>
                    <a:prstGeom prst="rect">
                      <a:avLst/>
                    </a:prstGeom>
                  </pic:spPr>
                </pic:pic>
              </a:graphicData>
            </a:graphic>
          </wp:inline>
        </w:drawing>
      </w:r>
    </w:p>
    <w:p w14:paraId="55D8022E" w14:textId="77777777" w:rsidR="00064644" w:rsidRDefault="00064644" w:rsidP="00064644">
      <w:pPr>
        <w:pStyle w:val="RubrikInnehll"/>
        <w:ind w:left="-1418"/>
        <w:rPr>
          <w:lang w:val="en-US"/>
        </w:rPr>
      </w:pPr>
    </w:p>
    <w:p w14:paraId="5AD88A3B" w14:textId="77777777" w:rsidR="00064644" w:rsidRDefault="00064644" w:rsidP="00064644">
      <w:pPr>
        <w:pStyle w:val="RubrikInnehll"/>
        <w:ind w:left="-1418"/>
        <w:rPr>
          <w:lang w:val="en-US"/>
        </w:rPr>
      </w:pPr>
    </w:p>
    <w:p w14:paraId="403BEC60" w14:textId="77777777" w:rsidR="00064644" w:rsidRDefault="00064644" w:rsidP="00064644">
      <w:pPr>
        <w:pStyle w:val="RubrikInnehll"/>
        <w:rPr>
          <w:rFonts w:ascii="Titillium Web" w:hAnsi="Titillium Web"/>
          <w:b/>
          <w:bCs/>
          <w:sz w:val="44"/>
          <w:szCs w:val="44"/>
          <w:lang w:val="en-US"/>
        </w:rPr>
      </w:pPr>
    </w:p>
    <w:p w14:paraId="55E7EAC7" w14:textId="77777777" w:rsidR="00064644" w:rsidRPr="0009445C" w:rsidRDefault="00064644" w:rsidP="00064644">
      <w:pPr>
        <w:pStyle w:val="RubrikInnehll"/>
        <w:jc w:val="right"/>
        <w:rPr>
          <w:rFonts w:ascii="Titillium Web" w:hAnsi="Titillium Web"/>
          <w:b/>
          <w:bCs/>
          <w:sz w:val="44"/>
          <w:szCs w:val="44"/>
          <w:lang w:val="it-IT"/>
        </w:rPr>
      </w:pPr>
      <w:r w:rsidRPr="0009445C">
        <w:rPr>
          <w:rFonts w:ascii="Titillium Web" w:hAnsi="Titillium Web"/>
          <w:b/>
          <w:bCs/>
          <w:sz w:val="44"/>
          <w:szCs w:val="44"/>
          <w:lang w:val="it-IT"/>
        </w:rPr>
        <w:t>TITLE PCR</w:t>
      </w:r>
    </w:p>
    <w:p w14:paraId="3D26AE35" w14:textId="77777777" w:rsidR="00064644" w:rsidRPr="0009445C" w:rsidRDefault="00064644" w:rsidP="00064644">
      <w:pPr>
        <w:pStyle w:val="RubrikInnehll"/>
        <w:jc w:val="right"/>
        <w:rPr>
          <w:rFonts w:ascii="Titillium Web" w:hAnsi="Titillium Web"/>
          <w:sz w:val="20"/>
          <w:szCs w:val="20"/>
          <w:lang w:val="it-IT"/>
        </w:rPr>
      </w:pPr>
      <w:r w:rsidRPr="0009445C">
        <w:rPr>
          <w:rFonts w:ascii="Titillium Web" w:hAnsi="Titillium Web"/>
          <w:sz w:val="20"/>
          <w:szCs w:val="20"/>
          <w:lang w:val="it-IT"/>
        </w:rPr>
        <w:t>UN CPC CODE: XXXX</w:t>
      </w:r>
    </w:p>
    <w:p w14:paraId="0FF5FFE6" w14:textId="77777777" w:rsidR="00064644" w:rsidRPr="0009445C" w:rsidRDefault="00064644" w:rsidP="00064644">
      <w:pPr>
        <w:pStyle w:val="RubrikInnehll"/>
        <w:ind w:left="-1418"/>
        <w:rPr>
          <w:rFonts w:ascii="Titillium Web" w:hAnsi="Titillium Web"/>
          <w:lang w:val="it-IT"/>
        </w:rPr>
      </w:pPr>
    </w:p>
    <w:p w14:paraId="6B66C975" w14:textId="77777777" w:rsidR="00064644" w:rsidRPr="0009445C" w:rsidRDefault="00064644" w:rsidP="00064644">
      <w:pPr>
        <w:pStyle w:val="RubrikInnehll"/>
        <w:ind w:left="-1418"/>
        <w:rPr>
          <w:rFonts w:ascii="Titillium Web" w:hAnsi="Titillium Web"/>
          <w:lang w:val="it-IT"/>
        </w:rPr>
      </w:pPr>
    </w:p>
    <w:p w14:paraId="614B8277" w14:textId="77777777" w:rsidR="00064644" w:rsidRPr="0009445C" w:rsidRDefault="00064644" w:rsidP="00064644">
      <w:pPr>
        <w:pStyle w:val="RubrikInnehll"/>
        <w:ind w:left="-1418"/>
        <w:rPr>
          <w:rFonts w:ascii="Titillium Web" w:hAnsi="Titillium Web"/>
          <w:lang w:val="it-IT"/>
        </w:rPr>
      </w:pPr>
    </w:p>
    <w:p w14:paraId="28D8FDE7" w14:textId="7F33D29B" w:rsidR="00064644" w:rsidRPr="0009445C" w:rsidRDefault="00064644" w:rsidP="00064644">
      <w:pPr>
        <w:pStyle w:val="RubrikInnehll"/>
        <w:ind w:left="-1418"/>
        <w:rPr>
          <w:lang w:val="it-IT"/>
        </w:rPr>
      </w:pPr>
      <w:r>
        <w:rPr>
          <w:noProof/>
          <w:lang w:val="it-IT"/>
        </w:rPr>
        <w:drawing>
          <wp:anchor distT="0" distB="0" distL="114300" distR="114300" simplePos="0" relativeHeight="251659264" behindDoc="0" locked="0" layoutInCell="1" allowOverlap="1" wp14:anchorId="149D9AAA" wp14:editId="6FDDE956">
            <wp:simplePos x="0" y="0"/>
            <wp:positionH relativeFrom="column">
              <wp:posOffset>4669569</wp:posOffset>
            </wp:positionH>
            <wp:positionV relativeFrom="paragraph">
              <wp:posOffset>352071</wp:posOffset>
            </wp:positionV>
            <wp:extent cx="2120400" cy="13320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9">
                      <a:extLst>
                        <a:ext uri="{28A0092B-C50C-407E-A947-70E740481C1C}">
                          <a14:useLocalDpi xmlns:a14="http://schemas.microsoft.com/office/drawing/2010/main" val="0"/>
                        </a:ext>
                      </a:extLst>
                    </a:blip>
                    <a:stretch>
                      <a:fillRect/>
                    </a:stretch>
                  </pic:blipFill>
                  <pic:spPr>
                    <a:xfrm>
                      <a:off x="0" y="0"/>
                      <a:ext cx="2120400" cy="1332000"/>
                    </a:xfrm>
                    <a:prstGeom prst="rect">
                      <a:avLst/>
                    </a:prstGeom>
                  </pic:spPr>
                </pic:pic>
              </a:graphicData>
            </a:graphic>
            <wp14:sizeRelH relativeFrom="margin">
              <wp14:pctWidth>0</wp14:pctWidth>
            </wp14:sizeRelH>
            <wp14:sizeRelV relativeFrom="margin">
              <wp14:pctHeight>0</wp14:pctHeight>
            </wp14:sizeRelV>
          </wp:anchor>
        </w:drawing>
      </w:r>
    </w:p>
    <w:p w14:paraId="27914543" w14:textId="08C6004E" w:rsidR="00064644" w:rsidRPr="0009445C" w:rsidRDefault="00064644" w:rsidP="00064644">
      <w:pPr>
        <w:pStyle w:val="RubrikInnehll"/>
        <w:ind w:left="-1418"/>
        <w:rPr>
          <w:lang w:val="it-IT"/>
        </w:rPr>
      </w:pPr>
    </w:p>
    <w:p w14:paraId="185FFEDB" w14:textId="3EA4E29C" w:rsidR="00064644" w:rsidRDefault="00064644" w:rsidP="00064644">
      <w:r w:rsidRPr="0009445C">
        <w:br w:type="page"/>
      </w:r>
      <w:bookmarkEnd w:id="2"/>
    </w:p>
    <w:sdt>
      <w:sdtPr>
        <w:rPr>
          <w:rFonts w:ascii="Times New Roman" w:eastAsia="Times New Roman" w:hAnsi="Times New Roman" w:cs="Times New Roman"/>
          <w:b w:val="0"/>
          <w:bCs w:val="0"/>
          <w:color w:val="auto"/>
          <w:sz w:val="24"/>
          <w:szCs w:val="24"/>
        </w:rPr>
        <w:id w:val="-938525227"/>
        <w:docPartObj>
          <w:docPartGallery w:val="Table of Contents"/>
          <w:docPartUnique/>
        </w:docPartObj>
      </w:sdtPr>
      <w:sdtEndPr>
        <w:rPr>
          <w:noProof/>
        </w:rPr>
      </w:sdtEndPr>
      <w:sdtContent>
        <w:p w14:paraId="7DF0B31D" w14:textId="31870A4A" w:rsidR="00064644" w:rsidRDefault="00064644">
          <w:pPr>
            <w:pStyle w:val="Titolosommario"/>
          </w:pPr>
          <w:r>
            <w:t>TABLE OF CONTENTS</w:t>
          </w:r>
        </w:p>
        <w:p w14:paraId="24A29007" w14:textId="77777777" w:rsidR="00064644" w:rsidRPr="00064644" w:rsidRDefault="00064644" w:rsidP="00064644"/>
        <w:p w14:paraId="367760E3" w14:textId="544D8488" w:rsidR="00064644" w:rsidRPr="00064644" w:rsidRDefault="00064644">
          <w:pPr>
            <w:pStyle w:val="Sommario1"/>
            <w:tabs>
              <w:tab w:val="left" w:pos="480"/>
              <w:tab w:val="right" w:leader="dot" w:pos="9628"/>
            </w:tabs>
            <w:rPr>
              <w:rFonts w:eastAsiaTheme="minorEastAsia" w:cstheme="minorBidi"/>
              <w:b w:val="0"/>
              <w:bCs w:val="0"/>
              <w:i w:val="0"/>
              <w:iCs w:val="0"/>
              <w:noProof/>
              <w:color w:val="2F5496" w:themeColor="accent1" w:themeShade="BF"/>
            </w:rPr>
          </w:pPr>
          <w:r w:rsidRPr="00064644">
            <w:rPr>
              <w:b w:val="0"/>
              <w:bCs w:val="0"/>
              <w:color w:val="2F5496" w:themeColor="accent1" w:themeShade="BF"/>
            </w:rPr>
            <w:fldChar w:fldCharType="begin"/>
          </w:r>
          <w:r w:rsidRPr="00064644">
            <w:rPr>
              <w:color w:val="2F5496" w:themeColor="accent1" w:themeShade="BF"/>
            </w:rPr>
            <w:instrText>TOC \o "1-3" \h \z \u</w:instrText>
          </w:r>
          <w:r w:rsidRPr="00064644">
            <w:rPr>
              <w:b w:val="0"/>
              <w:bCs w:val="0"/>
              <w:color w:val="2F5496" w:themeColor="accent1" w:themeShade="BF"/>
            </w:rPr>
            <w:fldChar w:fldCharType="separate"/>
          </w:r>
          <w:hyperlink w:anchor="_Toc88487562" w:history="1">
            <w:r w:rsidRPr="00064644">
              <w:rPr>
                <w:rStyle w:val="Collegamentoipertestuale"/>
                <w:rFonts w:ascii="Titillium Web" w:hAnsi="Titillium Web"/>
                <w:noProof/>
                <w:color w:val="2F5496" w:themeColor="accent1" w:themeShade="BF"/>
              </w:rPr>
              <w:t>1.</w:t>
            </w:r>
            <w:r w:rsidRPr="00064644">
              <w:rPr>
                <w:rFonts w:eastAsiaTheme="minorEastAsia" w:cstheme="minorBidi"/>
                <w:b w:val="0"/>
                <w:bCs w:val="0"/>
                <w:i w:val="0"/>
                <w:iCs w:val="0"/>
                <w:noProof/>
                <w:color w:val="2F5496" w:themeColor="accent1" w:themeShade="BF"/>
              </w:rPr>
              <w:tab/>
            </w:r>
            <w:r w:rsidRPr="00064644">
              <w:rPr>
                <w:rStyle w:val="Collegamentoipertestuale"/>
                <w:rFonts w:ascii="Titillium Web" w:hAnsi="Titillium Web"/>
                <w:noProof/>
                <w:color w:val="2F5496" w:themeColor="accent1" w:themeShade="BF"/>
              </w:rPr>
              <w:t>PRODUCT CATEGORY</w:t>
            </w:r>
            <w:r w:rsidRPr="00064644">
              <w:rPr>
                <w:noProof/>
                <w:webHidden/>
                <w:color w:val="2F5496" w:themeColor="accent1" w:themeShade="BF"/>
              </w:rPr>
              <w:tab/>
            </w:r>
            <w:r w:rsidRPr="00064644">
              <w:rPr>
                <w:noProof/>
                <w:webHidden/>
                <w:color w:val="2F5496" w:themeColor="accent1" w:themeShade="BF"/>
              </w:rPr>
              <w:fldChar w:fldCharType="begin"/>
            </w:r>
            <w:r w:rsidRPr="00064644">
              <w:rPr>
                <w:noProof/>
                <w:webHidden/>
                <w:color w:val="2F5496" w:themeColor="accent1" w:themeShade="BF"/>
              </w:rPr>
              <w:instrText xml:space="preserve"> PAGEREF _Toc88487562 \h </w:instrText>
            </w:r>
            <w:r w:rsidRPr="00064644">
              <w:rPr>
                <w:noProof/>
                <w:webHidden/>
                <w:color w:val="2F5496" w:themeColor="accent1" w:themeShade="BF"/>
              </w:rPr>
            </w:r>
            <w:r w:rsidRPr="00064644">
              <w:rPr>
                <w:noProof/>
                <w:webHidden/>
                <w:color w:val="2F5496" w:themeColor="accent1" w:themeShade="BF"/>
              </w:rPr>
              <w:fldChar w:fldCharType="separate"/>
            </w:r>
            <w:r w:rsidRPr="00064644">
              <w:rPr>
                <w:noProof/>
                <w:webHidden/>
                <w:color w:val="2F5496" w:themeColor="accent1" w:themeShade="BF"/>
              </w:rPr>
              <w:t>3</w:t>
            </w:r>
            <w:r w:rsidRPr="00064644">
              <w:rPr>
                <w:noProof/>
                <w:webHidden/>
                <w:color w:val="2F5496" w:themeColor="accent1" w:themeShade="BF"/>
              </w:rPr>
              <w:fldChar w:fldCharType="end"/>
            </w:r>
          </w:hyperlink>
        </w:p>
        <w:p w14:paraId="1CCCA2BC" w14:textId="245EFA4F"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3" w:history="1">
            <w:r w:rsidR="00064644" w:rsidRPr="00064644">
              <w:rPr>
                <w:rStyle w:val="Collegamentoipertestuale"/>
                <w:rFonts w:ascii="Titillium Web" w:hAnsi="Titillium Web"/>
                <w:noProof/>
                <w:color w:val="2F5496" w:themeColor="accent1" w:themeShade="BF"/>
              </w:rPr>
              <w:t>1.1 Product Category Definition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718BB799" w14:textId="47949F09"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4" w:history="1">
            <w:r w:rsidR="00064644" w:rsidRPr="00064644">
              <w:rPr>
                <w:rStyle w:val="Collegamentoipertestuale"/>
                <w:rFonts w:ascii="Titillium Web" w:hAnsi="Titillium Web"/>
                <w:noProof/>
                <w:color w:val="2F5496" w:themeColor="accent1" w:themeShade="BF"/>
                <w:lang w:val="en-US"/>
              </w:rPr>
              <w:t>1.2 Product Category Description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180F565B" w14:textId="7E9B7C8D"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5" w:history="1">
            <w:r w:rsidR="00064644" w:rsidRPr="00064644">
              <w:rPr>
                <w:rStyle w:val="Collegamentoipertestuale"/>
                <w:rFonts w:ascii="Titillium Web" w:hAnsi="Titillium Web"/>
                <w:noProof/>
                <w:color w:val="2F5496" w:themeColor="accent1" w:themeShade="BF"/>
                <w:lang w:val="en-US"/>
              </w:rPr>
              <w:t>1.3 Functional Unit (if any)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1F709895" w14:textId="72B79420"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6" w:history="1">
            <w:r w:rsidR="00064644" w:rsidRPr="00064644">
              <w:rPr>
                <w:rStyle w:val="Collegamentoipertestuale"/>
                <w:rFonts w:ascii="Titillium Web" w:hAnsi="Titillium Web"/>
                <w:noProof/>
                <w:color w:val="2F5496" w:themeColor="accent1" w:themeShade="BF"/>
                <w:lang w:val="en-US"/>
              </w:rPr>
              <w:t>1.4 Declared Unit (if any)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3D9A5675" w14:textId="1D11E110"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7" w:history="1">
            <w:r w:rsidR="00064644" w:rsidRPr="00064644">
              <w:rPr>
                <w:rStyle w:val="Collegamentoipertestuale"/>
                <w:rFonts w:ascii="Titillium Web" w:hAnsi="Titillium Web"/>
                <w:noProof/>
                <w:color w:val="2F5496" w:themeColor="accent1" w:themeShade="BF"/>
                <w:lang w:val="en-US"/>
              </w:rPr>
              <w:t>1.5 Product Lifetime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64F3A789" w14:textId="7E2ECA88" w:rsidR="00064644" w:rsidRPr="00064644" w:rsidRDefault="001723AA">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68" w:history="1">
            <w:r w:rsidR="00064644" w:rsidRPr="00064644">
              <w:rPr>
                <w:rStyle w:val="Collegamentoipertestuale"/>
                <w:rFonts w:ascii="Titillium Web" w:hAnsi="Titillium Web"/>
                <w:noProof/>
                <w:color w:val="2F5496" w:themeColor="accent1" w:themeShade="BF"/>
              </w:rPr>
              <w:t>2.</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rPr>
              <w:t>SYSTEM BOUNDARY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_Toc88487568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726F1539" w14:textId="591D34ED"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69" w:history="1">
            <w:r w:rsidR="00064644" w:rsidRPr="00064644">
              <w:rPr>
                <w:rStyle w:val="Collegamentoipertestuale"/>
                <w:rFonts w:ascii="Titillium Web" w:hAnsi="Titillium Web"/>
                <w:noProof/>
                <w:color w:val="2F5496" w:themeColor="accent1" w:themeShade="BF"/>
                <w:lang w:val="en-US"/>
              </w:rPr>
              <w:t>2.1 Diagram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_Toc88487569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A8E1F79" w14:textId="6C9EB864"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0" w:history="1">
            <w:r w:rsidR="00064644" w:rsidRPr="00064644">
              <w:rPr>
                <w:rStyle w:val="Collegamentoipertestuale"/>
                <w:rFonts w:ascii="Titillium Web" w:hAnsi="Titillium Web"/>
                <w:noProof/>
                <w:color w:val="2F5496" w:themeColor="accent1" w:themeShade="BF"/>
                <w:lang w:val="en-US"/>
              </w:rPr>
              <w:t>2.2 Upstream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_Toc88487570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95A30DC" w14:textId="1DD74D8C"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1" w:history="1">
            <w:r w:rsidR="00064644" w:rsidRPr="00064644">
              <w:rPr>
                <w:rStyle w:val="Collegamentoipertestuale"/>
                <w:rFonts w:ascii="Titillium Web" w:hAnsi="Titillium Web"/>
                <w:noProof/>
                <w:color w:val="2F5496" w:themeColor="accent1" w:themeShade="BF"/>
                <w:lang w:val="en-US"/>
              </w:rPr>
              <w:t>2.3 Core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_Toc88487571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041141D7" w14:textId="1D0C6D7C"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2" w:history="1">
            <w:r w:rsidR="00064644" w:rsidRPr="00064644">
              <w:rPr>
                <w:rStyle w:val="Collegamentoipertestuale"/>
                <w:rFonts w:ascii="Titillium Web" w:hAnsi="Titillium Web"/>
                <w:noProof/>
                <w:color w:val="2F5496" w:themeColor="accent1" w:themeShade="BF"/>
                <w:lang w:val="en-US"/>
              </w:rPr>
              <w:t>2.4 Downstream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_Toc88487572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5178762" w14:textId="7815502C" w:rsidR="00064644" w:rsidRPr="00064644" w:rsidRDefault="001723AA">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73" w:history="1">
            <w:r w:rsidR="00064644" w:rsidRPr="00064644">
              <w:rPr>
                <w:rStyle w:val="Collegamentoipertestuale"/>
                <w:rFonts w:ascii="Titillium Web" w:hAnsi="Titillium Web"/>
                <w:noProof/>
                <w:color w:val="2F5496" w:themeColor="accent1" w:themeShade="BF"/>
                <w:lang w:val="en-US"/>
              </w:rPr>
              <w:t>3.</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DATA AND RULES FOR THE CFP STUDIES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12B18FE0" w14:textId="6130D395"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4" w:history="1">
            <w:r w:rsidR="00064644" w:rsidRPr="00064644">
              <w:rPr>
                <w:rStyle w:val="Collegamentoipertestuale"/>
                <w:rFonts w:ascii="Titillium Web" w:hAnsi="Titillium Web"/>
                <w:noProof/>
                <w:color w:val="2F5496" w:themeColor="accent1" w:themeShade="BF"/>
                <w:lang w:val="en-US"/>
              </w:rPr>
              <w:t>3.1 Specific Data Or Calculation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0E92C9D" w14:textId="47BF8DBA" w:rsidR="00064644" w:rsidRPr="00064644" w:rsidRDefault="001723AA">
          <w:pPr>
            <w:pStyle w:val="Sommario3"/>
            <w:tabs>
              <w:tab w:val="right" w:leader="dot" w:pos="9628"/>
            </w:tabs>
            <w:rPr>
              <w:rFonts w:eastAsiaTheme="minorEastAsia" w:cstheme="minorBidi"/>
              <w:noProof/>
              <w:color w:val="2F5496" w:themeColor="accent1" w:themeShade="BF"/>
              <w:sz w:val="24"/>
              <w:szCs w:val="24"/>
            </w:rPr>
          </w:pPr>
          <w:hyperlink w:anchor="_Toc88487575" w:history="1">
            <w:r w:rsidR="00064644" w:rsidRPr="00064644">
              <w:rPr>
                <w:rStyle w:val="Collegamentoipertestuale"/>
                <w:rFonts w:ascii="Titillium Web" w:hAnsi="Titillium Web"/>
                <w:b/>
                <w:noProof/>
                <w:color w:val="2F5496" w:themeColor="accent1" w:themeShade="BF"/>
                <w:lang w:val="en-US"/>
              </w:rPr>
              <w:t>3.1.1 Specific Data</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C614B44" w14:textId="0378004A" w:rsidR="00064644" w:rsidRPr="00064644" w:rsidRDefault="001723AA">
          <w:pPr>
            <w:pStyle w:val="Sommario3"/>
            <w:tabs>
              <w:tab w:val="right" w:leader="dot" w:pos="9628"/>
            </w:tabs>
            <w:rPr>
              <w:rFonts w:eastAsiaTheme="minorEastAsia" w:cstheme="minorBidi"/>
              <w:noProof/>
              <w:color w:val="2F5496" w:themeColor="accent1" w:themeShade="BF"/>
              <w:sz w:val="24"/>
              <w:szCs w:val="24"/>
            </w:rPr>
          </w:pPr>
          <w:hyperlink w:anchor="_Toc88487576" w:history="1">
            <w:r w:rsidR="00064644" w:rsidRPr="00064644">
              <w:rPr>
                <w:rStyle w:val="Collegamentoipertestuale"/>
                <w:rFonts w:ascii="Titillium Web" w:hAnsi="Titillium Web"/>
                <w:b/>
                <w:noProof/>
                <w:color w:val="2F5496" w:themeColor="accent1" w:themeShade="BF"/>
                <w:lang w:val="en-US"/>
              </w:rPr>
              <w:t>3.1.2 Calculation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B914D70" w14:textId="3DF5E209"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7" w:history="1">
            <w:r w:rsidR="00064644" w:rsidRPr="00064644">
              <w:rPr>
                <w:rStyle w:val="Collegamentoipertestuale"/>
                <w:rFonts w:ascii="Titillium Web" w:hAnsi="Titillium Web"/>
                <w:noProof/>
                <w:color w:val="2F5496" w:themeColor="accent1" w:themeShade="BF"/>
                <w:lang w:val="en-US"/>
              </w:rPr>
              <w:t>3.2 Cut-Off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7</w:t>
            </w:r>
            <w:r w:rsidR="00064644" w:rsidRPr="00064644">
              <w:rPr>
                <w:noProof/>
                <w:webHidden/>
                <w:color w:val="2F5496" w:themeColor="accent1" w:themeShade="BF"/>
              </w:rPr>
              <w:fldChar w:fldCharType="end"/>
            </w:r>
          </w:hyperlink>
        </w:p>
        <w:p w14:paraId="2054A472" w14:textId="02141877"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78" w:history="1">
            <w:r w:rsidR="00064644" w:rsidRPr="00064644">
              <w:rPr>
                <w:rStyle w:val="Collegamentoipertestuale"/>
                <w:rFonts w:ascii="Titillium Web" w:hAnsi="Titillium Web"/>
                <w:noProof/>
                <w:color w:val="2F5496" w:themeColor="accent1" w:themeShade="BF"/>
                <w:lang w:val="en-US"/>
              </w:rPr>
              <w:t>3.3 Allocation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_Toc88487578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7</w:t>
            </w:r>
            <w:r w:rsidR="00064644" w:rsidRPr="00064644">
              <w:rPr>
                <w:noProof/>
                <w:webHidden/>
                <w:color w:val="2F5496" w:themeColor="accent1" w:themeShade="BF"/>
              </w:rPr>
              <w:fldChar w:fldCharType="end"/>
            </w:r>
          </w:hyperlink>
        </w:p>
        <w:p w14:paraId="6A356C53" w14:textId="385C6711" w:rsidR="00064644" w:rsidRPr="00064644" w:rsidRDefault="001723AA">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79" w:history="1">
            <w:r w:rsidR="00064644" w:rsidRPr="00064644">
              <w:rPr>
                <w:rStyle w:val="Collegamentoipertestuale"/>
                <w:rFonts w:ascii="Titillium Web" w:hAnsi="Titillium Web"/>
                <w:noProof/>
                <w:color w:val="2F5496" w:themeColor="accent1" w:themeShade="BF"/>
                <w:lang w:val="en-US"/>
              </w:rPr>
              <w:t>4.</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PCR APPLICABILITY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_Toc88487579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1E898DDC" w14:textId="3DA36DB9"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0" w:history="1">
            <w:r w:rsidR="00064644" w:rsidRPr="00064644">
              <w:rPr>
                <w:rStyle w:val="Collegamentoipertestuale"/>
                <w:rFonts w:ascii="Titillium Web" w:hAnsi="Titillium Web"/>
                <w:noProof/>
                <w:color w:val="2F5496" w:themeColor="accent1" w:themeShade="BF"/>
                <w:lang w:val="en-US"/>
              </w:rPr>
              <w:t>4.1 Impact Category Indicator Results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_Toc88487580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1E14055E" w14:textId="36CEC613" w:rsidR="00064644" w:rsidRPr="00064644" w:rsidRDefault="001723AA">
          <w:pPr>
            <w:pStyle w:val="Sommario2"/>
            <w:tabs>
              <w:tab w:val="left" w:pos="960"/>
              <w:tab w:val="right" w:leader="dot" w:pos="9628"/>
            </w:tabs>
            <w:rPr>
              <w:rFonts w:eastAsiaTheme="minorEastAsia" w:cstheme="minorBidi"/>
              <w:b w:val="0"/>
              <w:bCs w:val="0"/>
              <w:noProof/>
              <w:color w:val="2F5496" w:themeColor="accent1" w:themeShade="BF"/>
              <w:sz w:val="24"/>
              <w:szCs w:val="24"/>
            </w:rPr>
          </w:pPr>
          <w:hyperlink w:anchor="_Toc88487581" w:history="1">
            <w:r w:rsidR="00064644" w:rsidRPr="00064644">
              <w:rPr>
                <w:rStyle w:val="Collegamentoipertestuale"/>
                <w:rFonts w:ascii="Titillium Web" w:hAnsi="Titillium Web"/>
                <w:noProof/>
                <w:color w:val="2F5496" w:themeColor="accent1" w:themeShade="BF"/>
                <w:lang w:val="en-US"/>
              </w:rPr>
              <w:t>4.2</w:t>
            </w:r>
            <w:r w:rsidR="00064644" w:rsidRPr="00064644">
              <w:rPr>
                <w:rFonts w:eastAsiaTheme="minorEastAsia" w:cstheme="minorBidi"/>
                <w:b w:val="0"/>
                <w:bCs w:val="0"/>
                <w:noProof/>
                <w:color w:val="2F5496" w:themeColor="accent1" w:themeShade="BF"/>
                <w:sz w:val="24"/>
                <w:szCs w:val="24"/>
              </w:rPr>
              <w:tab/>
            </w:r>
            <w:r w:rsidR="00064644" w:rsidRPr="00064644">
              <w:rPr>
                <w:rStyle w:val="Collegamentoipertestuale"/>
                <w:rFonts w:ascii="Titillium Web" w:hAnsi="Titillium Web"/>
                <w:noProof/>
                <w:color w:val="2F5496" w:themeColor="accent1" w:themeShade="BF"/>
                <w:lang w:val="en-US"/>
              </w:rPr>
              <w:t>PCR Use for EPD Purpose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_Toc88487581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011EB5D4" w14:textId="668A1001" w:rsidR="00064644" w:rsidRPr="00064644" w:rsidRDefault="001723AA">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82" w:history="1">
            <w:r w:rsidR="00064644" w:rsidRPr="00064644">
              <w:rPr>
                <w:rStyle w:val="Collegamentoipertestuale"/>
                <w:rFonts w:ascii="Titillium Web" w:hAnsi="Titillium Web"/>
                <w:noProof/>
                <w:color w:val="2F5496" w:themeColor="accent1" w:themeShade="BF"/>
                <w:lang w:val="en-US"/>
              </w:rPr>
              <w:t>5.</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COMPLEMENTARY INFORMATION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_Toc88487582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12322EDB" w14:textId="16DB123D"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3" w:history="1">
            <w:r w:rsidR="00064644" w:rsidRPr="00064644">
              <w:rPr>
                <w:rStyle w:val="Collegamentoipertestuale"/>
                <w:rFonts w:ascii="Titillium Web" w:hAnsi="Titillium Web"/>
                <w:noProof/>
                <w:color w:val="2F5496" w:themeColor="accent1" w:themeShade="BF"/>
                <w:lang w:val="en-US"/>
              </w:rPr>
              <w:t>5.1 PCR Use Within Other Programme Operators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2A3C3AD0" w14:textId="34D1BB2B"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4" w:history="1">
            <w:r w:rsidR="00064644" w:rsidRPr="00064644">
              <w:rPr>
                <w:rStyle w:val="Collegamentoipertestuale"/>
                <w:rFonts w:ascii="Titillium Web" w:hAnsi="Titillium Web"/>
                <w:noProof/>
                <w:color w:val="2F5496" w:themeColor="accent1" w:themeShade="BF"/>
                <w:lang w:val="en-US"/>
              </w:rPr>
              <w:t>5.2 Glossary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3A905D4" w14:textId="4153B6C0"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5" w:history="1">
            <w:r w:rsidR="00064644" w:rsidRPr="00064644">
              <w:rPr>
                <w:rStyle w:val="Collegamentoipertestuale"/>
                <w:rFonts w:ascii="Titillium Web" w:hAnsi="Titillium Web"/>
                <w:noProof/>
                <w:color w:val="2F5496" w:themeColor="accent1" w:themeShade="BF"/>
                <w:lang w:val="en-US"/>
              </w:rPr>
              <w:t>5.3 Bibliography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6518A6A" w14:textId="747638F2"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6" w:history="1">
            <w:r w:rsidR="00064644" w:rsidRPr="00064644">
              <w:rPr>
                <w:rStyle w:val="Collegamentoipertestuale"/>
                <w:rFonts w:ascii="Titillium Web" w:hAnsi="Titillium Web"/>
                <w:noProof/>
                <w:color w:val="2F5496" w:themeColor="accent1" w:themeShade="BF"/>
                <w:lang w:val="en-US"/>
              </w:rPr>
              <w:t>5.4 Underlying Studies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137F858" w14:textId="63CC5934" w:rsidR="00064644" w:rsidRPr="00064644" w:rsidRDefault="001723AA">
          <w:pPr>
            <w:pStyle w:val="Sommario2"/>
            <w:tabs>
              <w:tab w:val="right" w:leader="dot" w:pos="9628"/>
            </w:tabs>
            <w:rPr>
              <w:rFonts w:eastAsiaTheme="minorEastAsia" w:cstheme="minorBidi"/>
              <w:b w:val="0"/>
              <w:bCs w:val="0"/>
              <w:noProof/>
              <w:color w:val="2F5496" w:themeColor="accent1" w:themeShade="BF"/>
              <w:sz w:val="24"/>
              <w:szCs w:val="24"/>
            </w:rPr>
          </w:pPr>
          <w:hyperlink w:anchor="_Toc88487587" w:history="1">
            <w:r w:rsidR="00064644" w:rsidRPr="00064644">
              <w:rPr>
                <w:rStyle w:val="Collegamentoipertestuale"/>
                <w:rFonts w:ascii="Titillium Web" w:hAnsi="Titillium Web"/>
                <w:noProof/>
                <w:color w:val="2F5496" w:themeColor="accent1" w:themeShade="BF"/>
                <w:lang w:val="en-US"/>
              </w:rPr>
              <w:t>5.5 Other Existing PCR</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16144B23" w14:textId="3B3F4121" w:rsidR="00064644" w:rsidRDefault="00064644">
          <w:r w:rsidRPr="00064644">
            <w:rPr>
              <w:b/>
              <w:bCs/>
              <w:noProof/>
              <w:color w:val="2F5496" w:themeColor="accent1" w:themeShade="BF"/>
            </w:rPr>
            <w:fldChar w:fldCharType="end"/>
          </w:r>
        </w:p>
      </w:sdtContent>
    </w:sdt>
    <w:p w14:paraId="5696606C" w14:textId="1825F469" w:rsidR="00064644" w:rsidRDefault="00064644">
      <w:r>
        <w:br w:type="page"/>
      </w:r>
    </w:p>
    <w:p w14:paraId="031E119A" w14:textId="0BF9BF26" w:rsidR="00064644" w:rsidRPr="00064644" w:rsidRDefault="00064644" w:rsidP="00064644">
      <w:pPr>
        <w:pStyle w:val="Titolo1"/>
        <w:numPr>
          <w:ilvl w:val="0"/>
          <w:numId w:val="4"/>
        </w:numPr>
        <w:tabs>
          <w:tab w:val="num" w:pos="360"/>
        </w:tabs>
        <w:ind w:left="0" w:firstLine="0"/>
        <w:rPr>
          <w:rFonts w:ascii="Titillium Web" w:hAnsi="Titillium Web"/>
          <w:b/>
          <w:bCs w:val="0"/>
          <w:color w:val="0070C0"/>
        </w:rPr>
      </w:pPr>
      <w:bookmarkStart w:id="3" w:name="_Toc86431584"/>
      <w:bookmarkStart w:id="4" w:name="_Toc88487562"/>
      <w:r>
        <w:rPr>
          <w:rFonts w:ascii="Titillium Web" w:hAnsi="Titillium Web"/>
          <w:b/>
          <w:bCs w:val="0"/>
          <w:caps w:val="0"/>
          <w:color w:val="0070C0"/>
        </w:rPr>
        <w:lastRenderedPageBreak/>
        <w:t>PRODUCT CATEGORY</w:t>
      </w:r>
      <w:bookmarkEnd w:id="3"/>
      <w:bookmarkEnd w:id="4"/>
    </w:p>
    <w:p w14:paraId="22AB5BF4" w14:textId="4FEED4A1" w:rsidR="00064644" w:rsidRPr="00113184" w:rsidRDefault="00064644" w:rsidP="00064644">
      <w:pPr>
        <w:pStyle w:val="Titolo2"/>
        <w:rPr>
          <w:rFonts w:ascii="Titillium Web" w:hAnsi="Titillium Web"/>
          <w:b/>
          <w:bCs w:val="0"/>
          <w:color w:val="0070C0"/>
          <w:sz w:val="24"/>
          <w:szCs w:val="24"/>
        </w:rPr>
      </w:pPr>
      <w:bookmarkStart w:id="5" w:name="_Toc88487563"/>
      <w:r>
        <w:rPr>
          <w:rFonts w:ascii="Titillium Web" w:hAnsi="Titillium Web"/>
          <w:b/>
          <w:bCs w:val="0"/>
          <w:caps w:val="0"/>
          <w:color w:val="0070C0"/>
          <w:sz w:val="24"/>
          <w:szCs w:val="24"/>
        </w:rPr>
        <w:t xml:space="preserve">1.1 </w:t>
      </w:r>
      <w:r w:rsidRPr="00113184">
        <w:rPr>
          <w:rFonts w:ascii="Titillium Web" w:hAnsi="Titillium Web"/>
          <w:b/>
          <w:bCs w:val="0"/>
          <w:caps w:val="0"/>
          <w:color w:val="0070C0"/>
          <w:sz w:val="24"/>
          <w:szCs w:val="24"/>
        </w:rPr>
        <w:t xml:space="preserve">Product </w:t>
      </w:r>
      <w:proofErr w:type="spellStart"/>
      <w:r w:rsidRPr="00113184">
        <w:rPr>
          <w:rFonts w:ascii="Titillium Web" w:hAnsi="Titillium Web"/>
          <w:b/>
          <w:bCs w:val="0"/>
          <w:caps w:val="0"/>
          <w:color w:val="0070C0"/>
          <w:sz w:val="24"/>
          <w:szCs w:val="24"/>
        </w:rPr>
        <w:t>Category</w:t>
      </w:r>
      <w:proofErr w:type="spellEnd"/>
      <w:r w:rsidRPr="00113184">
        <w:rPr>
          <w:rFonts w:ascii="Titillium Web" w:hAnsi="Titillium Web"/>
          <w:b/>
          <w:bCs w:val="0"/>
          <w:caps w:val="0"/>
          <w:color w:val="0070C0"/>
          <w:sz w:val="24"/>
          <w:szCs w:val="24"/>
        </w:rPr>
        <w:t xml:space="preserve"> Definition</w:t>
      </w:r>
      <w:bookmarkEnd w:id="0"/>
      <w:bookmarkEnd w:id="1"/>
      <w:bookmarkEnd w:id="5"/>
    </w:p>
    <w:p w14:paraId="22F35AB0" w14:textId="77777777" w:rsidR="00064644" w:rsidRPr="003A55AB" w:rsidRDefault="00064644" w:rsidP="00064644">
      <w:pPr>
        <w:jc w:val="both"/>
        <w:rPr>
          <w:rFonts w:ascii="Titillium Web" w:hAnsi="Titillium Web"/>
          <w:sz w:val="18"/>
          <w:szCs w:val="28"/>
          <w:lang w:val="en-US"/>
        </w:rPr>
      </w:pPr>
      <w:r w:rsidRPr="003A55AB">
        <w:rPr>
          <w:rFonts w:ascii="Titillium Web" w:hAnsi="Titillium Web"/>
          <w:sz w:val="18"/>
          <w:szCs w:val="28"/>
          <w:lang w:val="en-US"/>
        </w:rPr>
        <w:t xml:space="preserve">This document provides Product Category Rules (PCR) for the assessment of the impact on climate change of </w:t>
      </w:r>
      <w:r w:rsidRPr="006822DB">
        <w:rPr>
          <w:rFonts w:ascii="Titillium Web" w:hAnsi="Titillium Web"/>
          <w:iCs/>
          <w:color w:val="000000" w:themeColor="text1"/>
          <w:sz w:val="18"/>
          <w:szCs w:val="28"/>
          <w:highlight w:val="yellow"/>
          <w:lang w:val="en-US"/>
        </w:rPr>
        <w:t>XXX</w:t>
      </w:r>
      <w:r>
        <w:rPr>
          <w:rFonts w:ascii="Titillium Web" w:hAnsi="Titillium Web"/>
          <w:iCs/>
          <w:color w:val="000000" w:themeColor="text1"/>
          <w:sz w:val="18"/>
          <w:szCs w:val="28"/>
          <w:lang w:val="en-US"/>
        </w:rPr>
        <w:t xml:space="preserve"> </w:t>
      </w:r>
      <w:r w:rsidRPr="003A55AB">
        <w:rPr>
          <w:rFonts w:ascii="Titillium Web" w:hAnsi="Titillium Web"/>
          <w:sz w:val="18"/>
          <w:szCs w:val="28"/>
          <w:lang w:val="en-US"/>
        </w:rPr>
        <w:t>and the declaration of this performance by a CFP</w:t>
      </w:r>
      <w:r w:rsidRPr="003A55AB">
        <w:rPr>
          <w:rFonts w:ascii="Titillium Web" w:hAnsi="Titillium Web"/>
          <w:i/>
          <w:sz w:val="18"/>
          <w:szCs w:val="28"/>
          <w:lang w:val="en-US"/>
        </w:rPr>
        <w:t>.</w:t>
      </w:r>
      <w:r w:rsidRPr="003A55AB">
        <w:rPr>
          <w:rFonts w:ascii="Titillium Web" w:hAnsi="Titillium Web"/>
          <w:i/>
          <w:color w:val="FF0000"/>
          <w:sz w:val="18"/>
          <w:szCs w:val="28"/>
          <w:lang w:val="en-US"/>
        </w:rPr>
        <w:t xml:space="preserve"> </w:t>
      </w:r>
      <w:r w:rsidRPr="003A55AB">
        <w:rPr>
          <w:rFonts w:ascii="Titillium Web" w:hAnsi="Titillium Web"/>
          <w:sz w:val="18"/>
          <w:szCs w:val="28"/>
          <w:lang w:val="en-US"/>
        </w:rPr>
        <w:t xml:space="preserve">The product category corresponds to UN CPC </w:t>
      </w:r>
      <w:r w:rsidRPr="006822DB">
        <w:rPr>
          <w:rFonts w:ascii="Titillium Web" w:hAnsi="Titillium Web"/>
          <w:sz w:val="18"/>
          <w:szCs w:val="28"/>
          <w:highlight w:val="yellow"/>
          <w:lang w:val="en-US"/>
        </w:rPr>
        <w:t>XXX</w:t>
      </w:r>
      <w:r w:rsidRPr="003A55AB">
        <w:rPr>
          <w:rFonts w:ascii="Titillium Web" w:hAnsi="Titillium Web"/>
          <w:sz w:val="18"/>
          <w:szCs w:val="28"/>
          <w:lang w:val="en-US"/>
        </w:rPr>
        <w:t>.</w:t>
      </w:r>
    </w:p>
    <w:p w14:paraId="6CEACA82" w14:textId="77777777" w:rsidR="00064644" w:rsidRPr="0011318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13184">
        <w:rPr>
          <w:rFonts w:ascii="Titillium Web" w:hAnsi="Titillium Web" w:cs="Times New Roman"/>
          <w:color w:val="auto"/>
          <w:sz w:val="18"/>
          <w:szCs w:val="18"/>
          <w:lang w:val="en-US" w:eastAsia="en-GB"/>
        </w:rPr>
        <w:t>The product category is defined under UNSD-CPC Ver 2.1 classification:</w:t>
      </w:r>
    </w:p>
    <w:p w14:paraId="0667BC64" w14:textId="77777777" w:rsidR="00064644" w:rsidRPr="00113184" w:rsidRDefault="00064644" w:rsidP="00064644">
      <w:pPr>
        <w:pStyle w:val="Default"/>
        <w:spacing w:line="276" w:lineRule="auto"/>
        <w:jc w:val="both"/>
        <w:rPr>
          <w:rFonts w:ascii="Titillium Web" w:hAnsi="Titillium Web"/>
          <w:sz w:val="18"/>
          <w:szCs w:val="18"/>
          <w:lang w:val="en-US"/>
        </w:rPr>
      </w:pPr>
      <w:r w:rsidRPr="00BC2DC0">
        <w:rPr>
          <w:rFonts w:ascii="Titillium Web" w:hAnsi="Titillium Web"/>
          <w:sz w:val="18"/>
          <w:szCs w:val="18"/>
          <w:lang w:val="en-US"/>
        </w:rPr>
        <w:t xml:space="preserve">Division </w:t>
      </w:r>
      <w:r w:rsidRPr="006822DB">
        <w:rPr>
          <w:rFonts w:ascii="Titillium Web" w:hAnsi="Titillium Web"/>
          <w:sz w:val="18"/>
          <w:szCs w:val="18"/>
          <w:highlight w:val="yellow"/>
          <w:lang w:val="en-US"/>
        </w:rPr>
        <w:t xml:space="preserve">number: </w:t>
      </w:r>
      <w:r w:rsidRPr="006822DB">
        <w:rPr>
          <w:rFonts w:ascii="Titillium Web" w:hAnsi="Titillium Web"/>
          <w:b/>
          <w:bCs/>
          <w:sz w:val="18"/>
          <w:szCs w:val="18"/>
          <w:highlight w:val="yellow"/>
          <w:lang w:val="en-US"/>
        </w:rPr>
        <w:t>description</w:t>
      </w:r>
      <w:r w:rsidRPr="00BC2DC0">
        <w:rPr>
          <w:rFonts w:ascii="Titillium Web" w:hAnsi="Titillium Web"/>
          <w:sz w:val="18"/>
          <w:szCs w:val="18"/>
          <w:lang w:val="en-US"/>
        </w:rPr>
        <w:t>.</w:t>
      </w:r>
    </w:p>
    <w:p w14:paraId="54B2EFD0"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Within the present PCR, the following terminology is adopted: </w:t>
      </w:r>
    </w:p>
    <w:p w14:paraId="6FA6F433" w14:textId="77777777" w:rsidR="00064644" w:rsidRPr="001807C3" w:rsidRDefault="00064644" w:rsidP="00064644">
      <w:pPr>
        <w:pStyle w:val="ListaPunkter"/>
        <w:rPr>
          <w:rFonts w:ascii="Titillium Web" w:eastAsiaTheme="majorEastAsia" w:hAnsi="Titillium Web"/>
          <w:sz w:val="18"/>
          <w:szCs w:val="28"/>
          <w:lang w:val="en-US"/>
        </w:rPr>
      </w:pPr>
      <w:r w:rsidRPr="001807C3">
        <w:rPr>
          <w:rFonts w:ascii="Titillium Web" w:eastAsiaTheme="majorEastAsia" w:hAnsi="Titillium Web"/>
          <w:sz w:val="18"/>
          <w:szCs w:val="28"/>
          <w:lang w:val="en-US"/>
        </w:rPr>
        <w:t xml:space="preserve">The term “shall” </w:t>
      </w:r>
      <w:proofErr w:type="gramStart"/>
      <w:r w:rsidRPr="001807C3">
        <w:rPr>
          <w:rFonts w:ascii="Titillium Web" w:eastAsiaTheme="majorEastAsia" w:hAnsi="Titillium Web"/>
          <w:sz w:val="18"/>
          <w:szCs w:val="28"/>
          <w:lang w:val="en-US"/>
        </w:rPr>
        <w:t>is</w:t>
      </w:r>
      <w:proofErr w:type="gramEnd"/>
      <w:r w:rsidRPr="001807C3">
        <w:rPr>
          <w:rFonts w:ascii="Titillium Web" w:eastAsiaTheme="majorEastAsia" w:hAnsi="Titillium Web"/>
          <w:sz w:val="18"/>
          <w:szCs w:val="28"/>
          <w:lang w:val="en-US"/>
        </w:rPr>
        <w:t xml:space="preserve"> used to indicate what is obligatory.</w:t>
      </w:r>
    </w:p>
    <w:p w14:paraId="72F3291B" w14:textId="77777777" w:rsidR="00064644" w:rsidRPr="001807C3" w:rsidRDefault="00064644" w:rsidP="00064644">
      <w:pPr>
        <w:pStyle w:val="ListaPunkter"/>
        <w:rPr>
          <w:rFonts w:ascii="Titillium Web" w:eastAsiaTheme="majorEastAsia" w:hAnsi="Titillium Web"/>
          <w:sz w:val="18"/>
          <w:szCs w:val="28"/>
          <w:lang w:val="en-US"/>
        </w:rPr>
      </w:pPr>
      <w:r w:rsidRPr="001807C3">
        <w:rPr>
          <w:rFonts w:ascii="Titillium Web" w:eastAsiaTheme="majorEastAsia" w:hAnsi="Titillium Web"/>
          <w:sz w:val="18"/>
          <w:szCs w:val="28"/>
          <w:lang w:val="en-US"/>
        </w:rPr>
        <w:t xml:space="preserve">The term “should” </w:t>
      </w:r>
      <w:proofErr w:type="gramStart"/>
      <w:r w:rsidRPr="001807C3">
        <w:rPr>
          <w:rFonts w:ascii="Titillium Web" w:eastAsiaTheme="majorEastAsia" w:hAnsi="Titillium Web"/>
          <w:sz w:val="18"/>
          <w:szCs w:val="28"/>
          <w:lang w:val="en-US"/>
        </w:rPr>
        <w:t>is</w:t>
      </w:r>
      <w:proofErr w:type="gramEnd"/>
      <w:r w:rsidRPr="001807C3">
        <w:rPr>
          <w:rFonts w:ascii="Titillium Web" w:eastAsiaTheme="majorEastAsia" w:hAnsi="Titillium Web"/>
          <w:sz w:val="18"/>
          <w:szCs w:val="28"/>
          <w:lang w:val="en-US"/>
        </w:rPr>
        <w:t xml:space="preserve"> used to indicate a recommendation, rather than a requirement.</w:t>
      </w:r>
    </w:p>
    <w:p w14:paraId="757CF641" w14:textId="77777777" w:rsidR="00064644" w:rsidRPr="001807C3" w:rsidRDefault="00064644" w:rsidP="00064644">
      <w:pPr>
        <w:pStyle w:val="ListaPunkter"/>
        <w:rPr>
          <w:rFonts w:ascii="Titillium Web" w:hAnsi="Titillium Web"/>
          <w:sz w:val="18"/>
          <w:szCs w:val="20"/>
          <w:lang w:val="en-US"/>
        </w:rPr>
      </w:pPr>
      <w:r w:rsidRPr="001807C3">
        <w:rPr>
          <w:rFonts w:ascii="Titillium Web" w:eastAsiaTheme="majorEastAsia" w:hAnsi="Titillium Web"/>
          <w:sz w:val="18"/>
          <w:szCs w:val="28"/>
          <w:lang w:val="en-US"/>
        </w:rPr>
        <w:t>The term “may” or “can” is used to indicate an option that is permissible</w:t>
      </w:r>
    </w:p>
    <w:p w14:paraId="560008C8" w14:textId="77777777" w:rsidR="00064644" w:rsidRPr="001807C3" w:rsidRDefault="00064644" w:rsidP="00064644">
      <w:pPr>
        <w:jc w:val="both"/>
        <w:rPr>
          <w:rFonts w:ascii="Titillium Web" w:hAnsi="Titillium Web"/>
          <w:sz w:val="18"/>
          <w:szCs w:val="28"/>
          <w:lang w:val="en-US" w:eastAsia="en-GB"/>
        </w:rPr>
      </w:pPr>
      <w:r w:rsidRPr="001807C3">
        <w:rPr>
          <w:rFonts w:ascii="Titillium Web" w:hAnsi="Titillium Web"/>
          <w:sz w:val="18"/>
          <w:szCs w:val="28"/>
          <w:lang w:val="en-US"/>
        </w:rPr>
        <w:t>For the definition of terms used in the document, see the normative standards.</w:t>
      </w:r>
    </w:p>
    <w:p w14:paraId="5A5DD385" w14:textId="77777777" w:rsidR="00064644" w:rsidRPr="003A55AB" w:rsidRDefault="00064644" w:rsidP="00064644">
      <w:pPr>
        <w:pStyle w:val="Titolo2"/>
        <w:rPr>
          <w:rFonts w:ascii="Titillium Web" w:hAnsi="Titillium Web"/>
          <w:b/>
          <w:bCs w:val="0"/>
          <w:color w:val="0070C0"/>
          <w:sz w:val="24"/>
          <w:szCs w:val="24"/>
          <w:lang w:val="en-US"/>
        </w:rPr>
      </w:pPr>
      <w:bookmarkStart w:id="6" w:name="_Toc86431586"/>
      <w:bookmarkStart w:id="7" w:name="_Toc88487564"/>
      <w:r w:rsidRPr="003A55AB">
        <w:rPr>
          <w:rFonts w:ascii="Titillium Web" w:hAnsi="Titillium Web"/>
          <w:b/>
          <w:bCs w:val="0"/>
          <w:caps w:val="0"/>
          <w:color w:val="0070C0"/>
          <w:sz w:val="24"/>
          <w:szCs w:val="24"/>
          <w:lang w:val="en-US"/>
        </w:rPr>
        <w:t>1.2 Product Category Description</w:t>
      </w:r>
      <w:bookmarkEnd w:id="6"/>
      <w:bookmarkEnd w:id="7"/>
    </w:p>
    <w:p w14:paraId="5C88809D" w14:textId="28F2EFF4" w:rsidR="00064644" w:rsidRPr="003A55AB" w:rsidRDefault="00064644" w:rsidP="00064644">
      <w:pPr>
        <w:jc w:val="both"/>
        <w:rPr>
          <w:rFonts w:ascii="Titillium Web" w:hAnsi="Titillium Web"/>
          <w:sz w:val="18"/>
          <w:szCs w:val="28"/>
          <w:lang w:val="en-US"/>
        </w:rPr>
      </w:pPr>
      <w:r w:rsidRPr="00064644">
        <w:rPr>
          <w:rFonts w:ascii="Titillium Web" w:hAnsi="Titillium Web"/>
          <w:sz w:val="18"/>
          <w:szCs w:val="28"/>
          <w:highlight w:val="yellow"/>
          <w:lang w:val="en-US"/>
        </w:rPr>
        <w:t>Add a description of the product category</w:t>
      </w:r>
    </w:p>
    <w:p w14:paraId="7BBAE511" w14:textId="77777777" w:rsidR="00064644" w:rsidRPr="003A55AB" w:rsidRDefault="00064644" w:rsidP="00064644">
      <w:pPr>
        <w:pStyle w:val="Titolo2"/>
        <w:rPr>
          <w:rFonts w:ascii="Titillium Web" w:hAnsi="Titillium Web"/>
          <w:b/>
          <w:bCs w:val="0"/>
          <w:color w:val="0070C0"/>
          <w:sz w:val="24"/>
          <w:szCs w:val="24"/>
          <w:lang w:val="en-US"/>
        </w:rPr>
      </w:pPr>
      <w:bookmarkStart w:id="8" w:name="_Toc86431587"/>
      <w:bookmarkStart w:id="9" w:name="_Toc88487565"/>
      <w:r w:rsidRPr="003A55AB">
        <w:rPr>
          <w:rFonts w:ascii="Titillium Web" w:hAnsi="Titillium Web"/>
          <w:b/>
          <w:bCs w:val="0"/>
          <w:caps w:val="0"/>
          <w:color w:val="0070C0"/>
          <w:sz w:val="24"/>
          <w:szCs w:val="24"/>
          <w:lang w:val="en-US"/>
        </w:rPr>
        <w:t>1.3 Functional Unit</w:t>
      </w:r>
      <w:bookmarkEnd w:id="8"/>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(if any)</w:t>
      </w:r>
      <w:bookmarkEnd w:id="9"/>
    </w:p>
    <w:p w14:paraId="4BF2BBCE" w14:textId="77777777" w:rsidR="00064644" w:rsidRPr="00BF648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BF648B">
        <w:rPr>
          <w:rFonts w:ascii="Titillium Web" w:hAnsi="Titillium Web" w:cs="Times New Roman"/>
          <w:color w:val="auto"/>
          <w:sz w:val="18"/>
          <w:szCs w:val="18"/>
          <w:lang w:val="en-US" w:eastAsia="en-GB"/>
        </w:rPr>
        <w:t xml:space="preserve">The functional unit shall be </w:t>
      </w:r>
      <w:r w:rsidRPr="006822DB">
        <w:rPr>
          <w:rFonts w:ascii="Titillium Web" w:hAnsi="Titillium Web" w:cs="Times New Roman"/>
          <w:color w:val="auto"/>
          <w:sz w:val="18"/>
          <w:szCs w:val="18"/>
          <w:highlight w:val="yellow"/>
          <w:lang w:val="en-US" w:eastAsia="en-GB"/>
        </w:rPr>
        <w:t>XXX</w:t>
      </w:r>
      <w:r w:rsidRPr="00BF648B">
        <w:rPr>
          <w:rFonts w:ascii="Titillium Web" w:hAnsi="Titillium Web" w:cs="Times New Roman"/>
          <w:color w:val="auto"/>
          <w:sz w:val="18"/>
          <w:szCs w:val="18"/>
          <w:lang w:val="en-US" w:eastAsia="en-GB"/>
        </w:rPr>
        <w:t>.</w:t>
      </w:r>
    </w:p>
    <w:p w14:paraId="3A1BA6C7" w14:textId="77777777" w:rsidR="00064644" w:rsidRPr="003A55AB" w:rsidRDefault="00064644" w:rsidP="00064644">
      <w:pPr>
        <w:pStyle w:val="Titolo2"/>
        <w:rPr>
          <w:rFonts w:ascii="Titillium Web" w:hAnsi="Titillium Web"/>
          <w:b/>
          <w:bCs w:val="0"/>
          <w:color w:val="0070C0"/>
          <w:sz w:val="24"/>
          <w:szCs w:val="24"/>
          <w:lang w:val="en-US"/>
        </w:rPr>
      </w:pPr>
      <w:bookmarkStart w:id="10" w:name="_Toc86431588"/>
      <w:bookmarkStart w:id="11" w:name="_Toc88487566"/>
      <w:r w:rsidRPr="003A55AB">
        <w:rPr>
          <w:rFonts w:ascii="Titillium Web" w:hAnsi="Titillium Web"/>
          <w:b/>
          <w:bCs w:val="0"/>
          <w:caps w:val="0"/>
          <w:color w:val="0070C0"/>
          <w:sz w:val="24"/>
          <w:szCs w:val="24"/>
          <w:lang w:val="en-US"/>
        </w:rPr>
        <w:t>1.4 Declared Unit</w:t>
      </w:r>
      <w:bookmarkEnd w:id="10"/>
      <w:r>
        <w:rPr>
          <w:rFonts w:ascii="Titillium Web" w:hAnsi="Titillium Web"/>
          <w:b/>
          <w:bCs w:val="0"/>
          <w:caps w:val="0"/>
          <w:color w:val="0070C0"/>
          <w:sz w:val="24"/>
          <w:szCs w:val="24"/>
          <w:lang w:val="en-US"/>
        </w:rPr>
        <w:t xml:space="preserve"> (if any)</w:t>
      </w:r>
      <w:bookmarkEnd w:id="11"/>
    </w:p>
    <w:p w14:paraId="51D9EB12" w14:textId="77777777" w:rsidR="00064644" w:rsidRPr="00BF648B" w:rsidRDefault="00064644" w:rsidP="00064644">
      <w:pPr>
        <w:pStyle w:val="Default"/>
        <w:spacing w:before="120" w:line="276" w:lineRule="auto"/>
        <w:jc w:val="both"/>
        <w:rPr>
          <w:rFonts w:ascii="Titillium Web" w:hAnsi="Titillium Web" w:cs="Times New Roman"/>
          <w:color w:val="auto"/>
          <w:sz w:val="18"/>
          <w:szCs w:val="18"/>
          <w:lang w:val="en-US" w:eastAsia="en-GB"/>
        </w:rPr>
      </w:pPr>
      <w:bookmarkStart w:id="12" w:name="_Toc86431589"/>
      <w:r w:rsidRPr="00BF648B">
        <w:rPr>
          <w:rFonts w:ascii="Titillium Web" w:hAnsi="Titillium Web" w:cs="Times New Roman"/>
          <w:color w:val="auto"/>
          <w:sz w:val="18"/>
          <w:szCs w:val="18"/>
          <w:lang w:val="en-US" w:eastAsia="en-GB"/>
        </w:rPr>
        <w:t xml:space="preserve">The </w:t>
      </w:r>
      <w:r>
        <w:rPr>
          <w:rFonts w:ascii="Titillium Web" w:hAnsi="Titillium Web" w:cs="Times New Roman"/>
          <w:color w:val="auto"/>
          <w:sz w:val="18"/>
          <w:szCs w:val="18"/>
          <w:lang w:val="en-US" w:eastAsia="en-GB"/>
        </w:rPr>
        <w:t>declared</w:t>
      </w:r>
      <w:r w:rsidRPr="00BF648B">
        <w:rPr>
          <w:rFonts w:ascii="Titillium Web" w:hAnsi="Titillium Web" w:cs="Times New Roman"/>
          <w:color w:val="auto"/>
          <w:sz w:val="18"/>
          <w:szCs w:val="18"/>
          <w:lang w:val="en-US" w:eastAsia="en-GB"/>
        </w:rPr>
        <w:t xml:space="preserve"> unit shall be </w:t>
      </w:r>
      <w:r w:rsidRPr="006822DB">
        <w:rPr>
          <w:rFonts w:ascii="Titillium Web" w:hAnsi="Titillium Web" w:cs="Times New Roman"/>
          <w:color w:val="auto"/>
          <w:sz w:val="18"/>
          <w:szCs w:val="18"/>
          <w:highlight w:val="yellow"/>
          <w:lang w:val="en-US" w:eastAsia="en-GB"/>
        </w:rPr>
        <w:t>XXX</w:t>
      </w:r>
      <w:r w:rsidRPr="00BF648B">
        <w:rPr>
          <w:rFonts w:ascii="Titillium Web" w:hAnsi="Titillium Web" w:cs="Times New Roman"/>
          <w:color w:val="auto"/>
          <w:sz w:val="18"/>
          <w:szCs w:val="18"/>
          <w:lang w:val="en-US" w:eastAsia="en-GB"/>
        </w:rPr>
        <w:t>.</w:t>
      </w:r>
    </w:p>
    <w:p w14:paraId="301BF605" w14:textId="77777777" w:rsidR="00064644" w:rsidRPr="003A55AB" w:rsidRDefault="00064644" w:rsidP="00064644">
      <w:pPr>
        <w:pStyle w:val="Titolo2"/>
        <w:rPr>
          <w:rFonts w:ascii="Titillium Web" w:hAnsi="Titillium Web"/>
          <w:b/>
          <w:bCs w:val="0"/>
          <w:color w:val="0070C0"/>
          <w:sz w:val="24"/>
          <w:szCs w:val="24"/>
          <w:lang w:val="en-US"/>
        </w:rPr>
      </w:pPr>
      <w:bookmarkStart w:id="13" w:name="_Toc88487567"/>
      <w:r w:rsidRPr="003A55AB">
        <w:rPr>
          <w:rFonts w:ascii="Titillium Web" w:hAnsi="Titillium Web"/>
          <w:b/>
          <w:bCs w:val="0"/>
          <w:caps w:val="0"/>
          <w:color w:val="0070C0"/>
          <w:sz w:val="24"/>
          <w:szCs w:val="24"/>
          <w:lang w:val="en-US"/>
        </w:rPr>
        <w:t>1.5 Product Lifetime</w:t>
      </w:r>
      <w:bookmarkEnd w:id="12"/>
      <w:bookmarkEnd w:id="13"/>
    </w:p>
    <w:p w14:paraId="3BB9E78C" w14:textId="1EEB1DF1" w:rsidR="00064644" w:rsidRPr="003A55AB" w:rsidRDefault="00064644" w:rsidP="00064644">
      <w:pPr>
        <w:jc w:val="both"/>
        <w:rPr>
          <w:rFonts w:ascii="Titillium Web" w:hAnsi="Titillium Web"/>
          <w:sz w:val="18"/>
          <w:szCs w:val="28"/>
          <w:lang w:val="en-US"/>
        </w:rPr>
      </w:pPr>
      <w:r w:rsidRPr="00064644">
        <w:rPr>
          <w:rFonts w:ascii="Titillium Web" w:hAnsi="Titillium Web"/>
          <w:sz w:val="18"/>
          <w:szCs w:val="28"/>
          <w:highlight w:val="yellow"/>
          <w:lang w:val="en-US"/>
        </w:rPr>
        <w:t>Add a description</w:t>
      </w:r>
      <w:r w:rsidRPr="006822DB">
        <w:rPr>
          <w:rFonts w:ascii="Titillium Web" w:hAnsi="Titillium Web"/>
          <w:sz w:val="18"/>
          <w:szCs w:val="28"/>
          <w:highlight w:val="yellow"/>
          <w:lang w:val="en-US"/>
        </w:rPr>
        <w:t>; if not applicable</w:t>
      </w:r>
      <w:r>
        <w:rPr>
          <w:rFonts w:ascii="Titillium Web" w:hAnsi="Titillium Web"/>
          <w:sz w:val="18"/>
          <w:szCs w:val="28"/>
          <w:highlight w:val="yellow"/>
          <w:lang w:val="en-US"/>
        </w:rPr>
        <w:t>,</w:t>
      </w:r>
      <w:r w:rsidRPr="006822DB">
        <w:rPr>
          <w:rFonts w:ascii="Titillium Web" w:hAnsi="Titillium Web"/>
          <w:sz w:val="18"/>
          <w:szCs w:val="28"/>
          <w:highlight w:val="yellow"/>
          <w:lang w:val="en-US"/>
        </w:rPr>
        <w:t xml:space="preserve"> </w:t>
      </w:r>
      <w:r>
        <w:rPr>
          <w:rFonts w:ascii="Titillium Web" w:hAnsi="Titillium Web"/>
          <w:sz w:val="18"/>
          <w:szCs w:val="28"/>
          <w:highlight w:val="yellow"/>
          <w:lang w:val="en-US"/>
        </w:rPr>
        <w:t>indicate</w:t>
      </w:r>
      <w:r w:rsidRPr="006822DB">
        <w:rPr>
          <w:rFonts w:ascii="Titillium Web" w:hAnsi="Titillium Web"/>
          <w:sz w:val="18"/>
          <w:szCs w:val="28"/>
          <w:highlight w:val="yellow"/>
          <w:lang w:val="en-US"/>
        </w:rPr>
        <w:t>:</w:t>
      </w:r>
      <w:r>
        <w:rPr>
          <w:rFonts w:ascii="Titillium Web" w:hAnsi="Titillium Web"/>
          <w:sz w:val="18"/>
          <w:szCs w:val="28"/>
          <w:lang w:val="en-US"/>
        </w:rPr>
        <w:t xml:space="preserve"> </w:t>
      </w:r>
      <w:r w:rsidRPr="003A55AB">
        <w:rPr>
          <w:rFonts w:ascii="Titillium Web" w:hAnsi="Titillium Web"/>
          <w:sz w:val="18"/>
          <w:szCs w:val="28"/>
          <w:lang w:val="en-US"/>
        </w:rPr>
        <w:t>Not applicable for this product category.</w:t>
      </w:r>
    </w:p>
    <w:p w14:paraId="65F4B582" w14:textId="77777777" w:rsidR="00064644" w:rsidRPr="003A55AB" w:rsidRDefault="00064644" w:rsidP="00064644">
      <w:pPr>
        <w:jc w:val="both"/>
        <w:rPr>
          <w:rFonts w:ascii="Titillium Web" w:hAnsi="Titillium Web"/>
          <w:sz w:val="18"/>
          <w:szCs w:val="18"/>
          <w:lang w:val="en-US"/>
        </w:rPr>
      </w:pPr>
    </w:p>
    <w:p w14:paraId="77E41949" w14:textId="77777777" w:rsidR="00064644" w:rsidRPr="000129BA" w:rsidRDefault="00064644" w:rsidP="00064644">
      <w:pPr>
        <w:spacing w:line="220" w:lineRule="atLeast"/>
        <w:ind w:left="221"/>
        <w:rPr>
          <w:rFonts w:ascii="Titillium Web" w:hAnsi="Titillium Web"/>
          <w:b/>
          <w:color w:val="0070C0"/>
          <w:kern w:val="32"/>
          <w:sz w:val="30"/>
          <w:szCs w:val="32"/>
          <w:lang w:val="en-US"/>
        </w:rPr>
      </w:pPr>
      <w:r w:rsidRPr="000129BA">
        <w:rPr>
          <w:rFonts w:ascii="Titillium Web" w:hAnsi="Titillium Web"/>
          <w:b/>
          <w:bCs/>
          <w:caps/>
          <w:color w:val="0070C0"/>
          <w:lang w:val="en-US"/>
        </w:rPr>
        <w:br w:type="page"/>
      </w:r>
    </w:p>
    <w:p w14:paraId="04AAF64A" w14:textId="77777777" w:rsidR="00064644" w:rsidRDefault="00064644" w:rsidP="00064644">
      <w:pPr>
        <w:pStyle w:val="Titolo1"/>
        <w:numPr>
          <w:ilvl w:val="0"/>
          <w:numId w:val="4"/>
        </w:numPr>
        <w:tabs>
          <w:tab w:val="num" w:pos="360"/>
        </w:tabs>
        <w:ind w:left="0" w:firstLine="0"/>
        <w:rPr>
          <w:rFonts w:ascii="Titillium Web" w:hAnsi="Titillium Web"/>
          <w:b/>
          <w:bCs w:val="0"/>
          <w:color w:val="0070C0"/>
        </w:rPr>
      </w:pPr>
      <w:bookmarkStart w:id="14" w:name="_Toc86431590"/>
      <w:bookmarkStart w:id="15" w:name="_Toc88487568"/>
      <w:r>
        <w:rPr>
          <w:rFonts w:ascii="Titillium Web" w:hAnsi="Titillium Web"/>
          <w:b/>
          <w:bCs w:val="0"/>
          <w:caps w:val="0"/>
          <w:color w:val="0070C0"/>
        </w:rPr>
        <w:lastRenderedPageBreak/>
        <w:t>SYSTEM BOUNDARY</w:t>
      </w:r>
      <w:bookmarkEnd w:id="14"/>
      <w:bookmarkEnd w:id="15"/>
    </w:p>
    <w:p w14:paraId="2DB73699"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Carbon Footprint Italy follows an approach that include all attributional processes from “cradle to grave”, using the “limited loss of information at the final product” principle. This is especially important in the case of business-to-consumer communication.</w:t>
      </w:r>
    </w:p>
    <w:p w14:paraId="68B64A85"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 xml:space="preserve">The scope of this PCR and of CFPs based on this document is </w:t>
      </w:r>
      <w:r w:rsidRPr="006822DB">
        <w:rPr>
          <w:rFonts w:ascii="Titillium Web" w:hAnsi="Titillium Web" w:cs="Times New Roman"/>
          <w:color w:val="auto"/>
          <w:sz w:val="18"/>
          <w:szCs w:val="18"/>
          <w:highlight w:val="yellow"/>
          <w:lang w:val="en-US" w:eastAsia="en-GB"/>
        </w:rPr>
        <w:t xml:space="preserve">cradle to </w:t>
      </w:r>
      <w:r>
        <w:rPr>
          <w:rFonts w:ascii="Titillium Web" w:hAnsi="Titillium Web" w:cs="Times New Roman"/>
          <w:color w:val="auto"/>
          <w:sz w:val="18"/>
          <w:szCs w:val="18"/>
          <w:highlight w:val="yellow"/>
          <w:lang w:val="en-US" w:eastAsia="en-GB"/>
        </w:rPr>
        <w:t>gate/</w:t>
      </w:r>
      <w:r w:rsidRPr="006822DB">
        <w:rPr>
          <w:rFonts w:ascii="Titillium Web" w:hAnsi="Titillium Web" w:cs="Times New Roman"/>
          <w:color w:val="auto"/>
          <w:sz w:val="18"/>
          <w:szCs w:val="18"/>
          <w:highlight w:val="yellow"/>
          <w:lang w:val="en-US" w:eastAsia="en-GB"/>
        </w:rPr>
        <w:t>grave</w:t>
      </w:r>
      <w:r w:rsidRPr="00CF2459">
        <w:rPr>
          <w:rFonts w:ascii="Titillium Web" w:hAnsi="Titillium Web" w:cs="Times New Roman"/>
          <w:color w:val="auto"/>
          <w:sz w:val="18"/>
          <w:szCs w:val="18"/>
          <w:lang w:val="en-US" w:eastAsia="en-GB"/>
        </w:rPr>
        <w:t xml:space="preserve">. </w:t>
      </w:r>
    </w:p>
    <w:p w14:paraId="3455C05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proofErr w:type="gramStart"/>
      <w:r w:rsidRPr="00CF2459">
        <w:rPr>
          <w:rFonts w:ascii="Titillium Web" w:hAnsi="Titillium Web" w:cs="Times New Roman"/>
          <w:color w:val="auto"/>
          <w:sz w:val="18"/>
          <w:szCs w:val="18"/>
          <w:lang w:val="en-US" w:eastAsia="en-GB"/>
        </w:rPr>
        <w:t>For the purpose of</w:t>
      </w:r>
      <w:proofErr w:type="gramEnd"/>
      <w:r w:rsidRPr="00CF2459">
        <w:rPr>
          <w:rFonts w:ascii="Titillium Web" w:hAnsi="Titillium Web" w:cs="Times New Roman"/>
          <w:color w:val="auto"/>
          <w:sz w:val="18"/>
          <w:szCs w:val="18"/>
          <w:lang w:val="en-US" w:eastAsia="en-GB"/>
        </w:rPr>
        <w:t xml:space="preserve"> different data quality rules and for the presentation of results, the life cycle of products is split into three different life cycle stages:</w:t>
      </w:r>
    </w:p>
    <w:p w14:paraId="58C06BEC"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Upstream processes (from cradle-to-gate</w:t>
      </w:r>
      <w:proofErr w:type="gramStart"/>
      <w:r w:rsidRPr="003A55AB">
        <w:rPr>
          <w:rFonts w:ascii="Titillium Web" w:hAnsi="Titillium Web"/>
          <w:sz w:val="18"/>
          <w:szCs w:val="28"/>
          <w:lang w:val="en-US"/>
        </w:rPr>
        <w:t>);</w:t>
      </w:r>
      <w:proofErr w:type="gramEnd"/>
    </w:p>
    <w:p w14:paraId="68F91DEA" w14:textId="77777777" w:rsidR="00064644" w:rsidRPr="006822DB" w:rsidRDefault="00064644" w:rsidP="00064644">
      <w:pPr>
        <w:pStyle w:val="ListaPunkter"/>
        <w:jc w:val="both"/>
        <w:rPr>
          <w:rFonts w:ascii="Titillium Web" w:hAnsi="Titillium Web"/>
          <w:sz w:val="18"/>
          <w:szCs w:val="28"/>
          <w:highlight w:val="yellow"/>
          <w:lang w:val="en-US"/>
        </w:rPr>
      </w:pPr>
      <w:r w:rsidRPr="006822DB">
        <w:rPr>
          <w:rFonts w:ascii="Titillium Web" w:hAnsi="Titillium Web"/>
          <w:sz w:val="18"/>
          <w:szCs w:val="28"/>
          <w:highlight w:val="yellow"/>
          <w:lang w:val="en-US"/>
        </w:rPr>
        <w:t>Core processes (from gate-to-gate</w:t>
      </w:r>
      <w:proofErr w:type="gramStart"/>
      <w:r w:rsidRPr="006822DB">
        <w:rPr>
          <w:rFonts w:ascii="Titillium Web" w:hAnsi="Titillium Web"/>
          <w:sz w:val="18"/>
          <w:szCs w:val="28"/>
          <w:highlight w:val="yellow"/>
          <w:lang w:val="en-US"/>
        </w:rPr>
        <w:t>);</w:t>
      </w:r>
      <w:proofErr w:type="gramEnd"/>
    </w:p>
    <w:p w14:paraId="37FD8A67" w14:textId="77777777" w:rsidR="00064644" w:rsidRPr="006822DB" w:rsidRDefault="00064644" w:rsidP="00064644">
      <w:pPr>
        <w:pStyle w:val="ListaPunkter"/>
        <w:jc w:val="both"/>
        <w:rPr>
          <w:rFonts w:ascii="Titillium Web" w:hAnsi="Titillium Web"/>
          <w:sz w:val="18"/>
          <w:szCs w:val="28"/>
          <w:highlight w:val="yellow"/>
          <w:lang w:val="en-US"/>
        </w:rPr>
      </w:pPr>
      <w:r w:rsidRPr="006822DB">
        <w:rPr>
          <w:rFonts w:ascii="Titillium Web" w:hAnsi="Titillium Web"/>
          <w:sz w:val="18"/>
          <w:szCs w:val="28"/>
          <w:highlight w:val="yellow"/>
          <w:lang w:val="en-US"/>
        </w:rPr>
        <w:t>Downstream processes (from gate-to-grave).</w:t>
      </w:r>
    </w:p>
    <w:p w14:paraId="14B35694"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 xml:space="preserve">In the CFP, the impact on climate change associated to each of the three life-cycle stages mentioned above shall be reported separately. </w:t>
      </w:r>
    </w:p>
    <w:p w14:paraId="3F0D3858" w14:textId="77777777" w:rsidR="00064644" w:rsidRPr="003A55AB" w:rsidRDefault="00064644" w:rsidP="00064644">
      <w:pPr>
        <w:jc w:val="both"/>
        <w:rPr>
          <w:rFonts w:ascii="Titillium Web" w:hAnsi="Titillium Web"/>
          <w:i/>
          <w:color w:val="FF0000"/>
          <w:sz w:val="18"/>
          <w:szCs w:val="28"/>
          <w:lang w:val="en-US"/>
        </w:rPr>
      </w:pPr>
    </w:p>
    <w:p w14:paraId="793753DE" w14:textId="77777777" w:rsidR="00064644" w:rsidRPr="006822DB" w:rsidRDefault="00064644" w:rsidP="00064644">
      <w:pPr>
        <w:pStyle w:val="Titolo2"/>
        <w:rPr>
          <w:rFonts w:ascii="Titillium Web" w:hAnsi="Titillium Web"/>
          <w:b/>
          <w:bCs w:val="0"/>
          <w:color w:val="0070C0"/>
          <w:sz w:val="24"/>
          <w:szCs w:val="24"/>
          <w:lang w:val="en-US"/>
        </w:rPr>
      </w:pPr>
      <w:bookmarkStart w:id="16" w:name="_Toc86431591"/>
      <w:bookmarkStart w:id="17" w:name="_Toc88487569"/>
      <w:r w:rsidRPr="006822DB">
        <w:rPr>
          <w:rFonts w:ascii="Titillium Web" w:hAnsi="Titillium Web"/>
          <w:b/>
          <w:bCs w:val="0"/>
          <w:caps w:val="0"/>
          <w:color w:val="0070C0"/>
          <w:sz w:val="24"/>
          <w:szCs w:val="24"/>
          <w:lang w:val="en-US"/>
        </w:rPr>
        <w:t>2.1 Diagram</w:t>
      </w:r>
      <w:bookmarkEnd w:id="16"/>
      <w:bookmarkEnd w:id="17"/>
    </w:p>
    <w:p w14:paraId="5A996BED" w14:textId="77777777" w:rsidR="00064644" w:rsidRPr="006822DB" w:rsidRDefault="00064644" w:rsidP="00064644">
      <w:pPr>
        <w:rPr>
          <w:lang w:val="en-US"/>
        </w:rPr>
      </w:pPr>
    </w:p>
    <w:p w14:paraId="4ACE3BBD" w14:textId="77777777" w:rsidR="00064644" w:rsidRPr="006822DB" w:rsidRDefault="00064644" w:rsidP="00064644">
      <w:pPr>
        <w:keepNext/>
        <w:jc w:val="center"/>
        <w:rPr>
          <w:rFonts w:ascii="Titillium Web" w:hAnsi="Titillium Web"/>
          <w:sz w:val="18"/>
          <w:szCs w:val="18"/>
          <w:highlight w:val="yellow"/>
          <w:lang w:val="en-US" w:eastAsia="en-GB"/>
        </w:rPr>
      </w:pPr>
      <w:r w:rsidRPr="006822DB">
        <w:rPr>
          <w:rFonts w:ascii="Titillium Web" w:hAnsi="Titillium Web"/>
          <w:sz w:val="18"/>
          <w:szCs w:val="18"/>
          <w:highlight w:val="yellow"/>
          <w:lang w:val="en-US" w:eastAsia="en-GB"/>
        </w:rPr>
        <w:t>Insert a diagram of system boundary</w:t>
      </w:r>
    </w:p>
    <w:p w14:paraId="64D696ED" w14:textId="77777777" w:rsidR="00064644" w:rsidRPr="003A55AB" w:rsidRDefault="00064644" w:rsidP="00064644">
      <w:pPr>
        <w:pStyle w:val="Didascalia"/>
        <w:jc w:val="center"/>
        <w:rPr>
          <w:rFonts w:ascii="Titillium Web" w:hAnsi="Titillium Web"/>
          <w:sz w:val="18"/>
          <w:szCs w:val="28"/>
          <w:lang w:val="en-US"/>
        </w:rPr>
      </w:pPr>
      <w:r w:rsidRPr="003A55AB">
        <w:rPr>
          <w:rFonts w:ascii="Titillium Web Light" w:hAnsi="Titillium Web Light"/>
          <w:sz w:val="18"/>
          <w:lang w:val="en-US"/>
        </w:rPr>
        <w:t xml:space="preserve">Figure </w:t>
      </w:r>
      <w:r w:rsidRPr="00DA5D41">
        <w:rPr>
          <w:rFonts w:ascii="Titillium Web Light" w:hAnsi="Titillium Web Light"/>
          <w:sz w:val="18"/>
        </w:rPr>
        <w:fldChar w:fldCharType="begin"/>
      </w:r>
      <w:r w:rsidRPr="003A55AB">
        <w:rPr>
          <w:rFonts w:ascii="Titillium Web Light" w:hAnsi="Titillium Web Light"/>
          <w:sz w:val="18"/>
          <w:lang w:val="en-US"/>
        </w:rPr>
        <w:instrText xml:space="preserve"> SEQ Figure \* ARABIC </w:instrText>
      </w:r>
      <w:r w:rsidRPr="00DA5D41">
        <w:rPr>
          <w:rFonts w:ascii="Titillium Web Light" w:hAnsi="Titillium Web Light"/>
          <w:sz w:val="18"/>
        </w:rPr>
        <w:fldChar w:fldCharType="separate"/>
      </w:r>
      <w:r w:rsidRPr="003A55AB">
        <w:rPr>
          <w:rFonts w:ascii="Titillium Web Light" w:hAnsi="Titillium Web Light"/>
          <w:noProof/>
          <w:sz w:val="18"/>
          <w:lang w:val="en-US"/>
        </w:rPr>
        <w:t>1</w:t>
      </w:r>
      <w:r w:rsidRPr="00DA5D41">
        <w:rPr>
          <w:rFonts w:ascii="Titillium Web Light" w:hAnsi="Titillium Web Light"/>
          <w:sz w:val="18"/>
        </w:rPr>
        <w:fldChar w:fldCharType="end"/>
      </w:r>
      <w:r w:rsidRPr="003A55AB">
        <w:rPr>
          <w:rFonts w:ascii="Titillium Web Light" w:hAnsi="Titillium Web Light"/>
          <w:sz w:val="18"/>
          <w:lang w:val="en-US"/>
        </w:rPr>
        <w:t xml:space="preserve"> – </w:t>
      </w:r>
      <w:r w:rsidRPr="003A55AB">
        <w:rPr>
          <w:rFonts w:ascii="Titillium Web" w:hAnsi="Titillium Web"/>
          <w:sz w:val="18"/>
          <w:lang w:val="en-US"/>
        </w:rPr>
        <w:t>System</w:t>
      </w:r>
      <w:r w:rsidRPr="003A55AB">
        <w:rPr>
          <w:rFonts w:ascii="Titillium Web" w:hAnsi="Titillium Web"/>
          <w:sz w:val="18"/>
          <w:szCs w:val="28"/>
          <w:lang w:val="en-US"/>
        </w:rPr>
        <w:t xml:space="preserve"> diagram illustrating the processes that are included in the product system, divided into </w:t>
      </w:r>
      <w:r w:rsidRPr="006822DB">
        <w:rPr>
          <w:rFonts w:ascii="Titillium Web" w:hAnsi="Titillium Web"/>
          <w:sz w:val="18"/>
          <w:szCs w:val="28"/>
          <w:highlight w:val="yellow"/>
          <w:lang w:val="en-US"/>
        </w:rPr>
        <w:t>upstream, core and downstream</w:t>
      </w:r>
      <w:r w:rsidRPr="003A55AB">
        <w:rPr>
          <w:rFonts w:ascii="Titillium Web" w:hAnsi="Titillium Web"/>
          <w:sz w:val="18"/>
          <w:szCs w:val="28"/>
          <w:lang w:val="en-US"/>
        </w:rPr>
        <w:t xml:space="preserve"> processes. </w:t>
      </w:r>
    </w:p>
    <w:p w14:paraId="1768F710" w14:textId="77777777" w:rsidR="00064644" w:rsidRPr="003A55AB" w:rsidRDefault="00064644" w:rsidP="00064644">
      <w:pPr>
        <w:rPr>
          <w:lang w:val="en-US"/>
        </w:rPr>
      </w:pPr>
    </w:p>
    <w:p w14:paraId="30DAE90B" w14:textId="77777777" w:rsidR="00064644" w:rsidRPr="003A55AB" w:rsidRDefault="00064644" w:rsidP="00064644">
      <w:pPr>
        <w:pStyle w:val="Titolo2"/>
        <w:rPr>
          <w:rFonts w:ascii="Titillium Web" w:hAnsi="Titillium Web"/>
          <w:b/>
          <w:bCs w:val="0"/>
          <w:color w:val="0070C0"/>
          <w:sz w:val="24"/>
          <w:szCs w:val="24"/>
          <w:lang w:val="en-US"/>
        </w:rPr>
      </w:pPr>
      <w:bookmarkStart w:id="18" w:name="_Toc86431592"/>
      <w:bookmarkStart w:id="19" w:name="_Toc88487570"/>
      <w:r w:rsidRPr="003A55AB">
        <w:rPr>
          <w:rFonts w:ascii="Titillium Web" w:hAnsi="Titillium Web"/>
          <w:b/>
          <w:bCs w:val="0"/>
          <w:caps w:val="0"/>
          <w:color w:val="0070C0"/>
          <w:sz w:val="24"/>
          <w:szCs w:val="24"/>
          <w:lang w:val="en-US"/>
        </w:rPr>
        <w:t>2.2 Upstream</w:t>
      </w:r>
      <w:bookmarkEnd w:id="18"/>
      <w:bookmarkEnd w:id="19"/>
    </w:p>
    <w:p w14:paraId="592B28BB"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The following attributional processes are part of the product system and classified as upstream processes:</w:t>
      </w:r>
    </w:p>
    <w:p w14:paraId="67C670B0"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42DDF936"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58AE6E53" w14:textId="77777777" w:rsidR="00064644" w:rsidRPr="006822DB" w:rsidRDefault="00064644" w:rsidP="00064644">
      <w:pPr>
        <w:pStyle w:val="ListaPunkter"/>
        <w:jc w:val="both"/>
        <w:rPr>
          <w:rFonts w:ascii="Titillium Web" w:hAnsi="Titillium Web"/>
          <w:sz w:val="18"/>
          <w:szCs w:val="28"/>
          <w:highlight w:val="yellow"/>
          <w:lang w:val="en-US" w:eastAsia="en-US"/>
        </w:rPr>
      </w:pPr>
    </w:p>
    <w:p w14:paraId="36CB3A99"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6822DB">
        <w:rPr>
          <w:rFonts w:ascii="Titillium Web" w:hAnsi="Titillium Web" w:cs="Times New Roman"/>
          <w:color w:val="auto"/>
          <w:sz w:val="18"/>
          <w:szCs w:val="18"/>
          <w:highlight w:val="yellow"/>
          <w:lang w:val="en-US" w:eastAsia="en-GB"/>
        </w:rPr>
        <w:t>The system shall not include:</w:t>
      </w:r>
    </w:p>
    <w:p w14:paraId="2D93CE42"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A5C892E" w14:textId="77777777" w:rsidR="00064644" w:rsidRPr="006822DB" w:rsidRDefault="00064644" w:rsidP="00064644">
      <w:pPr>
        <w:pStyle w:val="ListaPunkter"/>
        <w:numPr>
          <w:ilvl w:val="0"/>
          <w:numId w:val="0"/>
        </w:numPr>
        <w:ind w:left="454"/>
        <w:rPr>
          <w:rFonts w:ascii="Titillium Web" w:hAnsi="Titillium Web"/>
          <w:sz w:val="18"/>
          <w:szCs w:val="28"/>
          <w:highlight w:val="yellow"/>
          <w:lang w:val="en-US" w:eastAsia="en-US"/>
        </w:rPr>
      </w:pPr>
    </w:p>
    <w:p w14:paraId="6B075CF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822DB">
        <w:rPr>
          <w:rFonts w:ascii="Titillium Web" w:hAnsi="Titillium Web" w:cs="Times New Roman"/>
          <w:color w:val="auto"/>
          <w:sz w:val="18"/>
          <w:szCs w:val="18"/>
          <w:highlight w:val="yellow"/>
          <w:lang w:val="en-US" w:eastAsia="en-GB"/>
        </w:rPr>
        <w:t>Upstream processes not listed may also be included. All elementary flows at resource extraction shall be included, except for the flows that fall under the general cut-off rule in Section 3.2.</w:t>
      </w:r>
    </w:p>
    <w:p w14:paraId="14862C80" w14:textId="77777777" w:rsidR="00064644" w:rsidRPr="003A55AB" w:rsidRDefault="00064644" w:rsidP="00064644">
      <w:pPr>
        <w:pStyle w:val="Titolo2"/>
        <w:rPr>
          <w:rFonts w:ascii="Titillium Web" w:hAnsi="Titillium Web"/>
          <w:b/>
          <w:bCs w:val="0"/>
          <w:color w:val="0070C0"/>
          <w:sz w:val="24"/>
          <w:szCs w:val="24"/>
          <w:lang w:val="en-US"/>
        </w:rPr>
      </w:pPr>
      <w:bookmarkStart w:id="20" w:name="_Toc86431593"/>
      <w:bookmarkStart w:id="21" w:name="_Toc88487571"/>
      <w:r w:rsidRPr="003A55AB">
        <w:rPr>
          <w:rFonts w:ascii="Titillium Web" w:hAnsi="Titillium Web"/>
          <w:b/>
          <w:bCs w:val="0"/>
          <w:caps w:val="0"/>
          <w:color w:val="0070C0"/>
          <w:sz w:val="24"/>
          <w:szCs w:val="24"/>
          <w:lang w:val="en-US"/>
        </w:rPr>
        <w:t>2.3 Core</w:t>
      </w:r>
      <w:bookmarkEnd w:id="20"/>
      <w:bookmarkEnd w:id="21"/>
    </w:p>
    <w:p w14:paraId="7A65E9F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The following attributional processes are part of the product system and classified as core processes:</w:t>
      </w:r>
    </w:p>
    <w:p w14:paraId="32CD7CCD"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03996D2" w14:textId="77777777" w:rsidR="00064644" w:rsidRPr="003A55AB" w:rsidRDefault="00064644" w:rsidP="00064644">
      <w:pPr>
        <w:pStyle w:val="ListaPunkter"/>
        <w:numPr>
          <w:ilvl w:val="0"/>
          <w:numId w:val="0"/>
        </w:numPr>
        <w:ind w:left="814"/>
        <w:jc w:val="both"/>
        <w:rPr>
          <w:rFonts w:ascii="Titillium Web" w:hAnsi="Titillium Web"/>
          <w:sz w:val="18"/>
          <w:szCs w:val="28"/>
          <w:lang w:val="en-US"/>
        </w:rPr>
      </w:pPr>
    </w:p>
    <w:p w14:paraId="0C5BC1AC"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bookmarkStart w:id="22" w:name="_Toc86431594"/>
      <w:r w:rsidRPr="006822DB">
        <w:rPr>
          <w:rFonts w:ascii="Titillium Web" w:hAnsi="Titillium Web" w:cs="Times New Roman"/>
          <w:color w:val="auto"/>
          <w:sz w:val="18"/>
          <w:szCs w:val="18"/>
          <w:highlight w:val="yellow"/>
          <w:lang w:val="en-US" w:eastAsia="en-GB"/>
        </w:rPr>
        <w:t>The system shall not include:</w:t>
      </w:r>
    </w:p>
    <w:p w14:paraId="37218C9F"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D1C7EE3" w14:textId="77777777" w:rsidR="00064644" w:rsidRPr="006822DB" w:rsidRDefault="00064644" w:rsidP="00064644">
      <w:pPr>
        <w:pStyle w:val="ListaPunkter"/>
        <w:numPr>
          <w:ilvl w:val="0"/>
          <w:numId w:val="0"/>
        </w:numPr>
        <w:ind w:left="454"/>
        <w:rPr>
          <w:rFonts w:ascii="Titillium Web" w:hAnsi="Titillium Web"/>
          <w:sz w:val="18"/>
          <w:szCs w:val="28"/>
          <w:highlight w:val="yellow"/>
          <w:lang w:val="en-US" w:eastAsia="en-US"/>
        </w:rPr>
      </w:pPr>
    </w:p>
    <w:p w14:paraId="693C9D1C" w14:textId="77777777" w:rsidR="00064644" w:rsidRPr="003A55AB" w:rsidRDefault="00064644" w:rsidP="00064644">
      <w:pPr>
        <w:pStyle w:val="Titolo2"/>
        <w:rPr>
          <w:rFonts w:ascii="Titillium Web" w:hAnsi="Titillium Web"/>
          <w:b/>
          <w:bCs w:val="0"/>
          <w:color w:val="0070C0"/>
          <w:sz w:val="24"/>
          <w:szCs w:val="24"/>
          <w:lang w:val="en-US"/>
        </w:rPr>
      </w:pPr>
      <w:bookmarkStart w:id="23" w:name="_Toc88487572"/>
      <w:r w:rsidRPr="003A55AB">
        <w:rPr>
          <w:rFonts w:ascii="Titillium Web" w:hAnsi="Titillium Web"/>
          <w:b/>
          <w:bCs w:val="0"/>
          <w:caps w:val="0"/>
          <w:color w:val="0070C0"/>
          <w:sz w:val="24"/>
          <w:szCs w:val="24"/>
          <w:lang w:val="en-US"/>
        </w:rPr>
        <w:t>2.4 Downstream</w:t>
      </w:r>
      <w:bookmarkEnd w:id="22"/>
      <w:bookmarkEnd w:id="23"/>
    </w:p>
    <w:p w14:paraId="5564226C"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The following attributional processes are part of the product system and classified as downstream processes:</w:t>
      </w:r>
    </w:p>
    <w:p w14:paraId="7D896E9C"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lastRenderedPageBreak/>
        <w:t>XXX</w:t>
      </w:r>
    </w:p>
    <w:p w14:paraId="1C654DA9" w14:textId="77777777" w:rsidR="00064644" w:rsidRPr="003A55AB" w:rsidRDefault="00064644" w:rsidP="00064644">
      <w:pPr>
        <w:pStyle w:val="ListaPunkter"/>
        <w:numPr>
          <w:ilvl w:val="0"/>
          <w:numId w:val="0"/>
        </w:numPr>
        <w:ind w:left="814"/>
        <w:jc w:val="both"/>
        <w:rPr>
          <w:rFonts w:ascii="Titillium Web" w:hAnsi="Titillium Web"/>
          <w:sz w:val="18"/>
          <w:szCs w:val="28"/>
          <w:lang w:val="en-US"/>
        </w:rPr>
      </w:pPr>
    </w:p>
    <w:p w14:paraId="756110F3"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6822DB">
        <w:rPr>
          <w:rFonts w:ascii="Titillium Web" w:hAnsi="Titillium Web" w:cs="Times New Roman"/>
          <w:color w:val="auto"/>
          <w:sz w:val="18"/>
          <w:szCs w:val="18"/>
          <w:highlight w:val="yellow"/>
          <w:lang w:val="en-US" w:eastAsia="en-GB"/>
        </w:rPr>
        <w:t>The system shall not include:</w:t>
      </w:r>
    </w:p>
    <w:p w14:paraId="27D44233"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4FC6530"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31C2A0EE" w14:textId="77777777" w:rsidR="00064644" w:rsidRPr="003A55AB" w:rsidRDefault="00064644" w:rsidP="00064644">
      <w:pPr>
        <w:pStyle w:val="Titolo1"/>
        <w:numPr>
          <w:ilvl w:val="0"/>
          <w:numId w:val="4"/>
        </w:numPr>
        <w:tabs>
          <w:tab w:val="num" w:pos="360"/>
        </w:tabs>
        <w:ind w:left="0" w:firstLine="0"/>
        <w:rPr>
          <w:rFonts w:ascii="Titillium Web" w:hAnsi="Titillium Web"/>
          <w:b/>
          <w:bCs w:val="0"/>
          <w:color w:val="0070C0"/>
          <w:lang w:val="en-US"/>
        </w:rPr>
      </w:pPr>
      <w:bookmarkStart w:id="24" w:name="_Toc86431595"/>
      <w:bookmarkStart w:id="25" w:name="_Toc88487573"/>
      <w:r w:rsidRPr="003A55AB">
        <w:rPr>
          <w:rFonts w:ascii="Titillium Web" w:hAnsi="Titillium Web"/>
          <w:b/>
          <w:bCs w:val="0"/>
          <w:caps w:val="0"/>
          <w:color w:val="0070C0"/>
          <w:lang w:val="en-US"/>
        </w:rPr>
        <w:lastRenderedPageBreak/>
        <w:t>DATA AND RULES FOR THE CFP STUDIES</w:t>
      </w:r>
      <w:bookmarkEnd w:id="24"/>
      <w:bookmarkEnd w:id="25"/>
    </w:p>
    <w:p w14:paraId="12A490AC" w14:textId="77777777" w:rsidR="00064644" w:rsidRPr="003A55AB" w:rsidRDefault="00064644" w:rsidP="00064644">
      <w:pPr>
        <w:pStyle w:val="Titolo2"/>
        <w:rPr>
          <w:rFonts w:ascii="Titillium Web" w:hAnsi="Titillium Web"/>
          <w:b/>
          <w:bCs w:val="0"/>
          <w:color w:val="0070C0"/>
          <w:sz w:val="24"/>
          <w:szCs w:val="24"/>
          <w:lang w:val="en-US"/>
        </w:rPr>
      </w:pPr>
      <w:bookmarkStart w:id="26" w:name="_Toc86431596"/>
      <w:bookmarkStart w:id="27" w:name="_Toc88487574"/>
      <w:r w:rsidRPr="003A55AB">
        <w:rPr>
          <w:rFonts w:ascii="Titillium Web" w:hAnsi="Titillium Web"/>
          <w:b/>
          <w:bCs w:val="0"/>
          <w:caps w:val="0"/>
          <w:color w:val="0070C0"/>
          <w:sz w:val="24"/>
          <w:szCs w:val="24"/>
          <w:lang w:val="en-US"/>
        </w:rPr>
        <w:t xml:space="preserve">3.1 Specific Data </w:t>
      </w:r>
      <w:proofErr w:type="gramStart"/>
      <w:r w:rsidRPr="003A55AB">
        <w:rPr>
          <w:rFonts w:ascii="Titillium Web" w:hAnsi="Titillium Web"/>
          <w:b/>
          <w:bCs w:val="0"/>
          <w:caps w:val="0"/>
          <w:color w:val="0070C0"/>
          <w:sz w:val="24"/>
          <w:szCs w:val="24"/>
          <w:lang w:val="en-US"/>
        </w:rPr>
        <w:t>Or</w:t>
      </w:r>
      <w:proofErr w:type="gramEnd"/>
      <w:r w:rsidRPr="003A55AB">
        <w:rPr>
          <w:rFonts w:ascii="Titillium Web" w:hAnsi="Titillium Web"/>
          <w:b/>
          <w:bCs w:val="0"/>
          <w:caps w:val="0"/>
          <w:color w:val="0070C0"/>
          <w:sz w:val="24"/>
          <w:szCs w:val="24"/>
          <w:lang w:val="en-US"/>
        </w:rPr>
        <w:t xml:space="preserve"> Calculation Rules</w:t>
      </w:r>
      <w:bookmarkEnd w:id="26"/>
      <w:bookmarkEnd w:id="27"/>
    </w:p>
    <w:p w14:paraId="4E4ED187" w14:textId="77777777" w:rsidR="00064644" w:rsidRPr="003A55AB" w:rsidRDefault="00064644" w:rsidP="00064644">
      <w:pPr>
        <w:pStyle w:val="Titolo3"/>
        <w:rPr>
          <w:rFonts w:ascii="Titillium Web" w:hAnsi="Titillium Web"/>
          <w:b/>
          <w:bCs w:val="0"/>
          <w:color w:val="0070C0"/>
          <w:sz w:val="22"/>
          <w:szCs w:val="22"/>
          <w:lang w:val="en-US"/>
        </w:rPr>
      </w:pPr>
      <w:bookmarkStart w:id="28" w:name="_Toc88487575"/>
      <w:r w:rsidRPr="003A55AB">
        <w:rPr>
          <w:rFonts w:ascii="Titillium Web" w:hAnsi="Titillium Web"/>
          <w:b/>
          <w:bCs w:val="0"/>
          <w:caps w:val="0"/>
          <w:color w:val="0070C0"/>
          <w:sz w:val="22"/>
          <w:szCs w:val="22"/>
          <w:lang w:val="en-US"/>
        </w:rPr>
        <w:t>3.1.1 Specific Data</w:t>
      </w:r>
      <w:bookmarkEnd w:id="28"/>
    </w:p>
    <w:p w14:paraId="40C906FA"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A CFP calculation requires two different kinds of information:</w:t>
      </w:r>
    </w:p>
    <w:p w14:paraId="7B1D83FA"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 xml:space="preserve">data related to the </w:t>
      </w:r>
      <w:r w:rsidRPr="003A55AB">
        <w:rPr>
          <w:rFonts w:ascii="Titillium Web" w:hAnsi="Titillium Web"/>
          <w:b/>
          <w:sz w:val="18"/>
          <w:szCs w:val="28"/>
          <w:lang w:val="en-US"/>
        </w:rPr>
        <w:t>environmental aspects</w:t>
      </w:r>
      <w:r w:rsidRPr="003A55AB">
        <w:rPr>
          <w:rFonts w:ascii="Titillium Web" w:hAnsi="Titillium Web"/>
          <w:sz w:val="18"/>
          <w:szCs w:val="28"/>
          <w:lang w:val="en-US"/>
        </w:rPr>
        <w:t xml:space="preserve"> of the considered system (such materials or energy flows that enter the production system). These data shall come from the company that is performing the CFP calculation.</w:t>
      </w:r>
    </w:p>
    <w:p w14:paraId="365D01E3"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 xml:space="preserve">data related to the </w:t>
      </w:r>
      <w:r w:rsidRPr="003A55AB">
        <w:rPr>
          <w:rFonts w:ascii="Titillium Web" w:hAnsi="Titillium Web"/>
          <w:b/>
          <w:sz w:val="18"/>
          <w:szCs w:val="28"/>
          <w:lang w:val="en-US"/>
        </w:rPr>
        <w:t>life cycle impacts</w:t>
      </w:r>
      <w:r w:rsidRPr="003A55AB">
        <w:rPr>
          <w:rFonts w:ascii="Titillium Web" w:hAnsi="Titillium Web"/>
          <w:sz w:val="18"/>
          <w:szCs w:val="28"/>
          <w:lang w:val="en-US"/>
        </w:rPr>
        <w:t xml:space="preserve"> of the material or energy flows that enter the production system. Generic data can be used if specific data are not available.</w:t>
      </w:r>
    </w:p>
    <w:p w14:paraId="291E22E1"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Data on environmental aspects shall be as specific as possible and shall be representative of the studied process.</w:t>
      </w:r>
    </w:p>
    <w:p w14:paraId="042CDB2C"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Data on the life cycle of materials or energy inputs are classified into three categories – specific data, selected generic data, and proxy data, defined as follows:</w:t>
      </w:r>
    </w:p>
    <w:p w14:paraId="47E0DAC2"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b/>
          <w:sz w:val="18"/>
          <w:szCs w:val="28"/>
          <w:lang w:val="en-US"/>
        </w:rPr>
        <w:t>primary data</w:t>
      </w:r>
      <w:r w:rsidRPr="003A55AB">
        <w:rPr>
          <w:rFonts w:ascii="Titillium Web" w:hAnsi="Titillium Web"/>
          <w:sz w:val="18"/>
          <w:szCs w:val="28"/>
          <w:lang w:val="en-US"/>
        </w:rPr>
        <w:t xml:space="preserve"> (also referred to as “site-specific data”) – data gathered from the actual manufacturing plant where product-specific processes are carried out, and data from other parts of the life cycle traced to the specific product system under study, e.g. materials or electricity provided by a contracted supplier that is able to provide data for the actual delivered services, transportation that takes place based on actual fuel consumption, and related emissions, etc.</w:t>
      </w:r>
    </w:p>
    <w:p w14:paraId="18353206"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b/>
          <w:sz w:val="18"/>
          <w:szCs w:val="28"/>
          <w:lang w:val="en-US"/>
        </w:rPr>
        <w:t xml:space="preserve">secondary data: </w:t>
      </w:r>
      <w:r w:rsidRPr="003A55AB">
        <w:rPr>
          <w:rFonts w:ascii="Titillium Web" w:hAnsi="Titillium Web"/>
          <w:sz w:val="18"/>
          <w:szCs w:val="28"/>
          <w:lang w:val="en-US"/>
        </w:rPr>
        <w:t xml:space="preserve"> data from commonly available data sources (</w:t>
      </w:r>
      <w:proofErr w:type="gramStart"/>
      <w:r w:rsidRPr="003A55AB">
        <w:rPr>
          <w:rFonts w:ascii="Titillium Web" w:hAnsi="Titillium Web"/>
          <w:sz w:val="18"/>
          <w:szCs w:val="28"/>
          <w:lang w:val="en-US"/>
        </w:rPr>
        <w:t>e.g.</w:t>
      </w:r>
      <w:proofErr w:type="gramEnd"/>
      <w:r w:rsidRPr="003A55AB">
        <w:rPr>
          <w:rFonts w:ascii="Titillium Web" w:hAnsi="Titillium Web"/>
          <w:sz w:val="18"/>
          <w:szCs w:val="28"/>
          <w:lang w:val="en-US"/>
        </w:rPr>
        <w:t xml:space="preserve"> commercial databases and free databases) that fulfil prescribed data quality characteristics for precision, completeness, and,</w:t>
      </w:r>
      <w:r w:rsidRPr="003A55AB">
        <w:rPr>
          <w:rFonts w:ascii="Titillium Web" w:hAnsi="Titillium Web"/>
          <w:b/>
          <w:sz w:val="18"/>
          <w:szCs w:val="28"/>
          <w:lang w:val="en-US"/>
        </w:rPr>
        <w:t xml:space="preserve"> </w:t>
      </w:r>
      <w:r w:rsidRPr="003A55AB">
        <w:rPr>
          <w:rFonts w:ascii="Titillium Web" w:hAnsi="Titillium Web"/>
          <w:bCs/>
          <w:sz w:val="18"/>
          <w:szCs w:val="28"/>
          <w:lang w:val="en-US"/>
        </w:rPr>
        <w:t>proxy data</w:t>
      </w:r>
      <w:r w:rsidRPr="003A55AB">
        <w:rPr>
          <w:rFonts w:ascii="Titillium Web" w:hAnsi="Titillium Web"/>
          <w:sz w:val="18"/>
          <w:szCs w:val="28"/>
          <w:lang w:val="en-US"/>
        </w:rPr>
        <w:t xml:space="preserve"> from commonly available data sources (e.g. commercial databases and free databases) that do not fulfil all of the data quality characteristics of “selected generic data”.</w:t>
      </w:r>
    </w:p>
    <w:p w14:paraId="4BCCD916"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proofErr w:type="gramStart"/>
      <w:r w:rsidRPr="006740DB">
        <w:rPr>
          <w:rFonts w:ascii="Titillium Web" w:hAnsi="Titillium Web" w:cs="Times New Roman"/>
          <w:color w:val="auto"/>
          <w:sz w:val="18"/>
          <w:szCs w:val="18"/>
          <w:lang w:val="en-US" w:eastAsia="en-GB"/>
        </w:rPr>
        <w:t>As a general rule</w:t>
      </w:r>
      <w:proofErr w:type="gramEnd"/>
      <w:r w:rsidRPr="006740DB">
        <w:rPr>
          <w:rFonts w:ascii="Titillium Web" w:hAnsi="Titillium Web" w:cs="Times New Roman"/>
          <w:color w:val="auto"/>
          <w:sz w:val="18"/>
          <w:szCs w:val="18"/>
          <w:lang w:val="en-US" w:eastAsia="en-GB"/>
        </w:rPr>
        <w:t>, specific data shall always be used, if available, after performing a data quality assessment.</w:t>
      </w:r>
    </w:p>
    <w:p w14:paraId="0CB0F0B8"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5609BE">
        <w:rPr>
          <w:rFonts w:ascii="Titillium Web" w:hAnsi="Titillium Web" w:cs="Times New Roman"/>
          <w:color w:val="auto"/>
          <w:sz w:val="18"/>
          <w:szCs w:val="18"/>
          <w:highlight w:val="yellow"/>
          <w:lang w:val="en-US" w:eastAsia="en-GB"/>
        </w:rPr>
        <w:t>The availability of direct data highly depends on XXX</w:t>
      </w:r>
    </w:p>
    <w:p w14:paraId="7B0F8082" w14:textId="77777777" w:rsidR="00064644" w:rsidRPr="003A55AB" w:rsidRDefault="00064644" w:rsidP="00064644">
      <w:pPr>
        <w:pStyle w:val="Paragrafoelenco"/>
        <w:ind w:left="2024"/>
        <w:jc w:val="both"/>
        <w:rPr>
          <w:rFonts w:ascii="Titillium Web" w:hAnsi="Titillium Web"/>
          <w:sz w:val="18"/>
          <w:szCs w:val="28"/>
          <w:lang w:val="en-US"/>
        </w:rPr>
      </w:pPr>
    </w:p>
    <w:p w14:paraId="1CC1E7E0"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 xml:space="preserve">Any data used should preferably represent average values for a specific reference year. However, how these data are generated could vary, </w:t>
      </w:r>
      <w:proofErr w:type="gramStart"/>
      <w:r w:rsidRPr="007A2702">
        <w:rPr>
          <w:rFonts w:ascii="Titillium Web" w:hAnsi="Titillium Web" w:cs="Times New Roman"/>
          <w:color w:val="auto"/>
          <w:sz w:val="18"/>
          <w:szCs w:val="18"/>
          <w:lang w:val="en-US" w:eastAsia="en-GB"/>
        </w:rPr>
        <w:t>e.g.</w:t>
      </w:r>
      <w:proofErr w:type="gramEnd"/>
      <w:r w:rsidRPr="007A2702">
        <w:rPr>
          <w:rFonts w:ascii="Titillium Web" w:hAnsi="Titillium Web" w:cs="Times New Roman"/>
          <w:color w:val="auto"/>
          <w:sz w:val="18"/>
          <w:szCs w:val="18"/>
          <w:lang w:val="en-US" w:eastAsia="en-GB"/>
        </w:rPr>
        <w:t xml:space="preserve"> over time, and in such cases they should be presented under the form of a representative annual average value for a specified reference period. Such deviations should be declared.</w:t>
      </w:r>
    </w:p>
    <w:p w14:paraId="55E93E89"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The attributional LCA approach in Carbon Footprint Italy forms the basic prerequisites for selecting generic data. To allow the classification of generic data as “selected generic data”, they shall fulfil selected prescribed characteristics for precision, completeness, and representativeness (temporal, geographical, and technological), such as:</w:t>
      </w:r>
    </w:p>
    <w:p w14:paraId="7010F684"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the reference year must be as current as possible and preferably assessed to be representative for at least the validity period of the CFP,</w:t>
      </w:r>
    </w:p>
    <w:p w14:paraId="55CE239B"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the cut-off criteria to be met on the level of the modelled product system are the qualitative coverage of at least 99% of energy, mass, and overall environmental relevance of the flows,</w:t>
      </w:r>
    </w:p>
    <w:p w14:paraId="6038E2AC"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completeness in which the inventory data set should, in principle, cover all elementary flows that contribute to a relevant degree of GHG emissions.</w:t>
      </w:r>
    </w:p>
    <w:p w14:paraId="015CD9DF" w14:textId="77777777" w:rsidR="00064644" w:rsidRPr="003A55AB" w:rsidRDefault="00064644" w:rsidP="00064644">
      <w:pPr>
        <w:pStyle w:val="Titolo3"/>
        <w:rPr>
          <w:rFonts w:ascii="Titillium Web" w:hAnsi="Titillium Web"/>
          <w:b/>
          <w:bCs w:val="0"/>
          <w:color w:val="0070C0"/>
          <w:sz w:val="22"/>
          <w:szCs w:val="22"/>
          <w:lang w:val="en-US"/>
        </w:rPr>
      </w:pPr>
      <w:bookmarkStart w:id="29" w:name="_Toc88487576"/>
      <w:r w:rsidRPr="003A55AB">
        <w:rPr>
          <w:rFonts w:ascii="Titillium Web" w:hAnsi="Titillium Web"/>
          <w:b/>
          <w:bCs w:val="0"/>
          <w:caps w:val="0"/>
          <w:color w:val="0070C0"/>
          <w:sz w:val="22"/>
          <w:szCs w:val="22"/>
          <w:lang w:val="en-US"/>
        </w:rPr>
        <w:t>3.1.2 Calculation Rules</w:t>
      </w:r>
      <w:bookmarkEnd w:id="29"/>
    </w:p>
    <w:p w14:paraId="621EFD60"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 xml:space="preserve">The following requirements apply to the </w:t>
      </w:r>
      <w:r>
        <w:rPr>
          <w:rFonts w:ascii="Titillium Web" w:hAnsi="Titillium Web" w:cs="Times New Roman"/>
          <w:color w:val="auto"/>
          <w:sz w:val="18"/>
          <w:szCs w:val="18"/>
          <w:lang w:val="en-US" w:eastAsia="en-GB"/>
        </w:rPr>
        <w:t>study</w:t>
      </w:r>
      <w:r w:rsidRPr="007A2702">
        <w:rPr>
          <w:rFonts w:ascii="Titillium Web" w:hAnsi="Titillium Web" w:cs="Times New Roman"/>
          <w:color w:val="auto"/>
          <w:sz w:val="18"/>
          <w:szCs w:val="18"/>
          <w:lang w:val="en-US" w:eastAsia="en-GB"/>
        </w:rPr>
        <w:t>:</w:t>
      </w:r>
    </w:p>
    <w:p w14:paraId="59EB4303"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 xml:space="preserve">Data referring to processes and activities upstream in a supply chain over which an </w:t>
      </w:r>
      <w:proofErr w:type="spellStart"/>
      <w:r w:rsidRPr="003A55AB">
        <w:rPr>
          <w:rFonts w:ascii="Titillium Web" w:hAnsi="Titillium Web"/>
          <w:sz w:val="18"/>
          <w:szCs w:val="28"/>
          <w:lang w:val="en-US"/>
        </w:rPr>
        <w:t>organisation</w:t>
      </w:r>
      <w:proofErr w:type="spellEnd"/>
      <w:r w:rsidRPr="003A55AB">
        <w:rPr>
          <w:rFonts w:ascii="Titillium Web" w:hAnsi="Titillium Web"/>
          <w:sz w:val="18"/>
          <w:szCs w:val="28"/>
          <w:lang w:val="en-US"/>
        </w:rPr>
        <w:t xml:space="preserve"> has direct management control shall be specific and collected on site.</w:t>
      </w:r>
    </w:p>
    <w:p w14:paraId="3176A80D"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Data referring to contractors that supply main parts, packaging, or main auxiliaries should be requested from the contractor as specific data, as well as infrastructure, where relevant.</w:t>
      </w:r>
    </w:p>
    <w:p w14:paraId="3019CC05"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lastRenderedPageBreak/>
        <w:t>In case specific data is lacking, selected generic data may be used. If this is also lacking, proxy data may be used.</w:t>
      </w:r>
    </w:p>
    <w:p w14:paraId="68B4B8BA"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For the electricity used in the processes, electricity production impacts shall be accounted for in this priority when specific data are used in the processes:</w:t>
      </w:r>
    </w:p>
    <w:p w14:paraId="781F9A66"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 xml:space="preserve">Specific electricity </w:t>
      </w:r>
      <w:proofErr w:type="gramStart"/>
      <w:r w:rsidRPr="003A55AB">
        <w:rPr>
          <w:rFonts w:ascii="Titillium Web" w:hAnsi="Titillium Web"/>
          <w:sz w:val="18"/>
          <w:szCs w:val="28"/>
          <w:lang w:val="en-US"/>
        </w:rPr>
        <w:t>mix</w:t>
      </w:r>
      <w:proofErr w:type="gramEnd"/>
      <w:r w:rsidRPr="003A55AB">
        <w:rPr>
          <w:rFonts w:ascii="Titillium Web" w:hAnsi="Titillium Web"/>
          <w:sz w:val="18"/>
          <w:szCs w:val="28"/>
          <w:lang w:val="en-US"/>
        </w:rPr>
        <w:t xml:space="preserve"> as generated, or purchased, from an electricity supplier, demonstrated by a Guarantee of Origin (or similar, where reliability, traceability, and the avoidance of double-counting are ensured) as provided by the electricity supplier. If no specific mix is purchased, the residual electricity mix from the electricity supplier shall be used.</w:t>
      </w:r>
      <w:r w:rsidRPr="00BC2DC0">
        <w:rPr>
          <w:rStyle w:val="Rimandonotaapidipagina"/>
          <w:rFonts w:ascii="Titillium Web" w:hAnsi="Titillium Web"/>
          <w:sz w:val="18"/>
          <w:szCs w:val="28"/>
          <w:lang w:val="en-US"/>
        </w:rPr>
        <w:footnoteReference w:id="1"/>
      </w:r>
    </w:p>
    <w:p w14:paraId="6F732B4B"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 xml:space="preserve">National residual electricity </w:t>
      </w:r>
      <w:proofErr w:type="gramStart"/>
      <w:r w:rsidRPr="003A55AB">
        <w:rPr>
          <w:rFonts w:ascii="Titillium Web" w:hAnsi="Titillium Web"/>
          <w:sz w:val="18"/>
          <w:szCs w:val="28"/>
          <w:lang w:val="en-US"/>
        </w:rPr>
        <w:t>mix</w:t>
      </w:r>
      <w:proofErr w:type="gramEnd"/>
      <w:r w:rsidRPr="003A55AB">
        <w:rPr>
          <w:rFonts w:ascii="Titillium Web" w:hAnsi="Titillium Web"/>
          <w:sz w:val="18"/>
          <w:szCs w:val="28"/>
          <w:lang w:val="en-US"/>
        </w:rPr>
        <w:t xml:space="preserve"> or residual electricity mix on the market</w:t>
      </w:r>
    </w:p>
    <w:p w14:paraId="3050E059"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National electricity production mix or electricity mix on the market.</w:t>
      </w:r>
    </w:p>
    <w:p w14:paraId="29BB72CD" w14:textId="77777777" w:rsidR="00064644" w:rsidRPr="003A55AB" w:rsidRDefault="00064644" w:rsidP="00064644">
      <w:pPr>
        <w:pStyle w:val="ListaPunkter"/>
        <w:numPr>
          <w:ilvl w:val="0"/>
          <w:numId w:val="0"/>
        </w:numPr>
        <w:ind w:left="454"/>
        <w:jc w:val="both"/>
        <w:rPr>
          <w:rFonts w:ascii="Titillium Web" w:hAnsi="Titillium Web"/>
          <w:sz w:val="18"/>
          <w:szCs w:val="28"/>
          <w:lang w:val="en-US"/>
        </w:rPr>
      </w:pPr>
      <w:r w:rsidRPr="003A55AB">
        <w:rPr>
          <w:rFonts w:ascii="Titillium Web" w:hAnsi="Titillium Web"/>
          <w:sz w:val="18"/>
          <w:szCs w:val="28"/>
          <w:lang w:val="en-US"/>
        </w:rPr>
        <w:t>The mix of electricity used in upstream processes shall be documented in the CFP study report, where relevant.</w:t>
      </w:r>
    </w:p>
    <w:p w14:paraId="172FEC5B" w14:textId="77777777" w:rsidR="00064644" w:rsidRPr="005609BE" w:rsidRDefault="00064644" w:rsidP="00064644">
      <w:pPr>
        <w:pStyle w:val="ListaPunkter"/>
        <w:spacing w:before="120"/>
        <w:jc w:val="both"/>
        <w:rPr>
          <w:rFonts w:ascii="Titillium Web" w:hAnsi="Titillium Web"/>
          <w:sz w:val="18"/>
          <w:szCs w:val="28"/>
          <w:highlight w:val="yellow"/>
          <w:lang w:val="en-US"/>
        </w:rPr>
      </w:pPr>
      <w:r w:rsidRPr="005609BE">
        <w:rPr>
          <w:rFonts w:ascii="Titillium Web" w:hAnsi="Titillium Web"/>
          <w:sz w:val="18"/>
          <w:szCs w:val="28"/>
          <w:highlight w:val="yellow"/>
          <w:lang w:val="en-US"/>
        </w:rPr>
        <w:t>XXX</w:t>
      </w:r>
    </w:p>
    <w:p w14:paraId="248B1648" w14:textId="77777777" w:rsidR="00064644" w:rsidRPr="005609BE" w:rsidRDefault="00064644" w:rsidP="00064644">
      <w:pPr>
        <w:pStyle w:val="ListaPunkter"/>
        <w:spacing w:before="120"/>
        <w:jc w:val="both"/>
        <w:rPr>
          <w:rFonts w:ascii="Titillium Web" w:hAnsi="Titillium Web"/>
          <w:sz w:val="18"/>
          <w:szCs w:val="28"/>
          <w:highlight w:val="yellow"/>
          <w:lang w:val="en-US"/>
        </w:rPr>
      </w:pPr>
      <w:r w:rsidRPr="005609BE">
        <w:rPr>
          <w:rFonts w:ascii="Titillium Web" w:hAnsi="Titillium Web"/>
          <w:sz w:val="18"/>
          <w:szCs w:val="28"/>
          <w:highlight w:val="yellow"/>
          <w:lang w:val="en-US"/>
        </w:rPr>
        <w:t>Waste treatment processes of manufacturing waste should be based on specific data, if available.</w:t>
      </w:r>
    </w:p>
    <w:p w14:paraId="06E29CFB" w14:textId="77777777" w:rsidR="00064644" w:rsidRPr="005609BE" w:rsidRDefault="00064644" w:rsidP="00064644">
      <w:pPr>
        <w:pStyle w:val="ListaPunkter"/>
        <w:spacing w:before="120"/>
        <w:jc w:val="both"/>
        <w:rPr>
          <w:rFonts w:ascii="Titillium Web" w:hAnsi="Titillium Web"/>
          <w:sz w:val="18"/>
          <w:szCs w:val="28"/>
          <w:highlight w:val="yellow"/>
          <w:lang w:val="en-US" w:eastAsia="en-GB"/>
        </w:rPr>
      </w:pPr>
      <w:r w:rsidRPr="005609BE">
        <w:rPr>
          <w:rFonts w:ascii="Titillium Web" w:hAnsi="Titillium Web"/>
          <w:sz w:val="18"/>
          <w:szCs w:val="28"/>
          <w:highlight w:val="yellow"/>
          <w:lang w:val="en-US"/>
        </w:rPr>
        <w:t>Scenarios for the end-of-life stage shall be technically and economically practicable and compliant with current regulations in the relevant geographical region based on the geographical scope of the CFP. Key assumptions regarding the end-of-life stage scenario shall be documented.</w:t>
      </w:r>
    </w:p>
    <w:p w14:paraId="3EACEDF9" w14:textId="77777777" w:rsidR="00064644" w:rsidRPr="003A55AB" w:rsidRDefault="00064644" w:rsidP="00064644">
      <w:pPr>
        <w:pStyle w:val="Titolo2"/>
        <w:rPr>
          <w:rFonts w:ascii="Titillium Web" w:hAnsi="Titillium Web"/>
          <w:b/>
          <w:bCs w:val="0"/>
          <w:color w:val="0070C0"/>
          <w:sz w:val="24"/>
          <w:szCs w:val="24"/>
          <w:lang w:val="en-US"/>
        </w:rPr>
      </w:pPr>
      <w:bookmarkStart w:id="30" w:name="_Toc86431597"/>
      <w:bookmarkStart w:id="31" w:name="_Toc88487577"/>
      <w:r w:rsidRPr="003A55AB">
        <w:rPr>
          <w:rFonts w:ascii="Titillium Web" w:hAnsi="Titillium Web"/>
          <w:b/>
          <w:bCs w:val="0"/>
          <w:caps w:val="0"/>
          <w:color w:val="0070C0"/>
          <w:sz w:val="24"/>
          <w:szCs w:val="24"/>
          <w:lang w:val="en-US"/>
        </w:rPr>
        <w:t>3.2 Cut-Off Rules</w:t>
      </w:r>
      <w:bookmarkEnd w:id="30"/>
      <w:bookmarkEnd w:id="31"/>
    </w:p>
    <w:p w14:paraId="0B324A6B" w14:textId="77777777" w:rsidR="00064644" w:rsidRPr="005609BE"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5609BE">
        <w:rPr>
          <w:rFonts w:ascii="Titillium Web" w:hAnsi="Titillium Web" w:cs="Times New Roman"/>
          <w:color w:val="auto"/>
          <w:sz w:val="18"/>
          <w:szCs w:val="18"/>
          <w:highlight w:val="yellow"/>
          <w:lang w:val="en-US" w:eastAsia="en-GB"/>
        </w:rPr>
        <w:t>Data for elementary flows to and from the product system contributing to a minimum of 99% of the declared environmental impacts shall be included (not including processes that are explicitly outside the system boundary as described in Section 4.3).</w:t>
      </w:r>
    </w:p>
    <w:p w14:paraId="235D9FFF"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5609BE">
        <w:rPr>
          <w:rFonts w:ascii="Titillium Web" w:hAnsi="Titillium Web" w:cs="Times New Roman"/>
          <w:color w:val="auto"/>
          <w:sz w:val="18"/>
          <w:szCs w:val="18"/>
          <w:highlight w:val="yellow"/>
          <w:lang w:val="en-US" w:eastAsia="en-GB"/>
        </w:rPr>
        <w:t xml:space="preserve">The check for cut-off rules in a satisfactory way is through the combination of expert judgment based on experience of similar product systems and a sensitivity analysis in which it is possible to understand how the un-investigated input or output could affect the </w:t>
      </w:r>
      <w:proofErr w:type="gramStart"/>
      <w:r w:rsidRPr="005609BE">
        <w:rPr>
          <w:rFonts w:ascii="Titillium Web" w:hAnsi="Titillium Web" w:cs="Times New Roman"/>
          <w:color w:val="auto"/>
          <w:sz w:val="18"/>
          <w:szCs w:val="18"/>
          <w:highlight w:val="yellow"/>
          <w:lang w:val="en-US" w:eastAsia="en-GB"/>
        </w:rPr>
        <w:t>final results</w:t>
      </w:r>
      <w:proofErr w:type="gramEnd"/>
      <w:r w:rsidRPr="005609BE">
        <w:rPr>
          <w:rFonts w:ascii="Titillium Web" w:hAnsi="Titillium Web" w:cs="Times New Roman"/>
          <w:color w:val="auto"/>
          <w:sz w:val="18"/>
          <w:szCs w:val="18"/>
          <w:highlight w:val="yellow"/>
          <w:lang w:val="en-US" w:eastAsia="en-GB"/>
        </w:rPr>
        <w:t>.</w:t>
      </w:r>
    </w:p>
    <w:p w14:paraId="59CFCB28" w14:textId="77777777" w:rsidR="00064644" w:rsidRPr="003A55AB" w:rsidRDefault="00064644" w:rsidP="00064644">
      <w:pPr>
        <w:pStyle w:val="Titolo2"/>
        <w:rPr>
          <w:rFonts w:ascii="Titillium Web" w:hAnsi="Titillium Web"/>
          <w:b/>
          <w:bCs w:val="0"/>
          <w:color w:val="0070C0"/>
          <w:sz w:val="24"/>
          <w:szCs w:val="24"/>
          <w:lang w:val="en-US"/>
        </w:rPr>
      </w:pPr>
      <w:bookmarkStart w:id="32" w:name="_Toc86431598"/>
      <w:bookmarkStart w:id="33" w:name="_Toc88487578"/>
      <w:r w:rsidRPr="003A55AB">
        <w:rPr>
          <w:rFonts w:ascii="Titillium Web" w:hAnsi="Titillium Web"/>
          <w:b/>
          <w:bCs w:val="0"/>
          <w:caps w:val="0"/>
          <w:color w:val="0070C0"/>
          <w:sz w:val="24"/>
          <w:szCs w:val="24"/>
          <w:lang w:val="en-US"/>
        </w:rPr>
        <w:t>3.3 Allocation Rules</w:t>
      </w:r>
      <w:bookmarkEnd w:id="32"/>
      <w:bookmarkEnd w:id="33"/>
    </w:p>
    <w:p w14:paraId="13B1AF5A"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The following stepwise procedure shall be applied for multifunctional products and multiproduct processes:</w:t>
      </w:r>
    </w:p>
    <w:p w14:paraId="22A0BFCD"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Allocation shall be avoided, if possible, by dividing the unit process into two or more sub-processes and collecting the environmental data related to these sub-processes.</w:t>
      </w:r>
    </w:p>
    <w:p w14:paraId="0BEAE67B"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 xml:space="preserve">If allocation cannot be avoided, the inputs and outputs of the system shall be partitioned between its different products or functions in a way that reflects the underlying physical relationships between </w:t>
      </w:r>
      <w:proofErr w:type="gramStart"/>
      <w:r w:rsidRPr="003A55AB">
        <w:rPr>
          <w:rFonts w:ascii="Titillium Web" w:hAnsi="Titillium Web"/>
          <w:sz w:val="18"/>
          <w:szCs w:val="28"/>
          <w:lang w:val="en-US"/>
        </w:rPr>
        <w:t>them;</w:t>
      </w:r>
      <w:proofErr w:type="gramEnd"/>
      <w:r w:rsidRPr="003A55AB">
        <w:rPr>
          <w:rFonts w:ascii="Titillium Web" w:hAnsi="Titillium Web"/>
          <w:sz w:val="18"/>
          <w:szCs w:val="28"/>
          <w:lang w:val="en-US"/>
        </w:rPr>
        <w:t xml:space="preserve"> i.e. they should reflect the way in which the inputs and outputs are changed by quantitative changes in the products or functions delivered by the system.</w:t>
      </w:r>
    </w:p>
    <w:p w14:paraId="4D98A957"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Where physical relationships alone cannot be established or used as the basis for allocation (or they are too time consuming), the most suitable allocation procedure shall be used and documented.</w:t>
      </w:r>
    </w:p>
    <w:p w14:paraId="74A55255"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 xml:space="preserve">In accordance with other existing </w:t>
      </w:r>
      <w:proofErr w:type="spellStart"/>
      <w:r w:rsidRPr="006740DB">
        <w:rPr>
          <w:rFonts w:ascii="Titillium Web" w:hAnsi="Titillium Web" w:cs="Times New Roman"/>
          <w:color w:val="auto"/>
          <w:sz w:val="18"/>
          <w:szCs w:val="18"/>
          <w:lang w:val="en-US" w:eastAsia="en-GB"/>
        </w:rPr>
        <w:t>programme</w:t>
      </w:r>
      <w:proofErr w:type="spellEnd"/>
      <w:r w:rsidRPr="006740DB">
        <w:rPr>
          <w:rFonts w:ascii="Titillium Web" w:hAnsi="Titillium Web" w:cs="Times New Roman"/>
          <w:color w:val="auto"/>
          <w:sz w:val="18"/>
          <w:szCs w:val="18"/>
          <w:lang w:val="en-US" w:eastAsia="en-GB"/>
        </w:rPr>
        <w:t xml:space="preserve"> operators, the methodological choices for allocation for reuse, recycling and recovery have been set according to the polluter pays principle (PPP). This means that the generator of the waste shall carry the full climate impact until the point in the product’s life cycle at which the waste is transported to a scrapyard or the gate of a waste processing plant (collection site). The subsequent user of the waste shall carry the climate impact from the processing and refinement of the waste but not the impact caused in the “earlier” life cycles.</w:t>
      </w:r>
    </w:p>
    <w:p w14:paraId="05547E05"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1573321A" w14:textId="77777777" w:rsidR="00064644" w:rsidRPr="000129BA" w:rsidRDefault="00064644" w:rsidP="00064644">
      <w:pPr>
        <w:pStyle w:val="Titolo1"/>
        <w:numPr>
          <w:ilvl w:val="0"/>
          <w:numId w:val="4"/>
        </w:numPr>
        <w:tabs>
          <w:tab w:val="num" w:pos="360"/>
        </w:tabs>
        <w:ind w:left="0" w:firstLine="0"/>
        <w:rPr>
          <w:rFonts w:ascii="Titillium Web" w:hAnsi="Titillium Web"/>
          <w:b/>
          <w:bCs w:val="0"/>
          <w:caps w:val="0"/>
          <w:color w:val="0070C0"/>
          <w:lang w:val="en-US"/>
        </w:rPr>
      </w:pPr>
      <w:bookmarkStart w:id="34" w:name="_Toc86431599"/>
      <w:bookmarkStart w:id="35" w:name="_Toc88487579"/>
      <w:r>
        <w:rPr>
          <w:rFonts w:ascii="Titillium Web" w:hAnsi="Titillium Web"/>
          <w:b/>
          <w:bCs w:val="0"/>
          <w:caps w:val="0"/>
          <w:color w:val="0070C0"/>
          <w:lang w:val="en-US"/>
        </w:rPr>
        <w:lastRenderedPageBreak/>
        <w:t xml:space="preserve">PCR </w:t>
      </w:r>
      <w:r w:rsidRPr="000129BA">
        <w:rPr>
          <w:rFonts w:ascii="Titillium Web" w:hAnsi="Titillium Web"/>
          <w:b/>
          <w:bCs w:val="0"/>
          <w:caps w:val="0"/>
          <w:color w:val="0070C0"/>
          <w:lang w:val="en-US"/>
        </w:rPr>
        <w:t>APPLICABILITY</w:t>
      </w:r>
      <w:bookmarkEnd w:id="34"/>
      <w:bookmarkEnd w:id="35"/>
    </w:p>
    <w:p w14:paraId="7F55D054"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This document constitutes the Product Category Rules (PCR</w:t>
      </w:r>
      <w:r w:rsidRPr="001807C3">
        <w:rPr>
          <w:rStyle w:val="Rimandonotaapidipagina"/>
          <w:sz w:val="18"/>
          <w:szCs w:val="28"/>
          <w:lang w:val="en-US" w:eastAsia="en-GB"/>
        </w:rPr>
        <w:footnoteReference w:id="2"/>
      </w:r>
      <w:r w:rsidRPr="001807C3">
        <w:rPr>
          <w:rFonts w:ascii="Titillium Web" w:hAnsi="Titillium Web" w:cs="Times New Roman"/>
          <w:color w:val="auto"/>
          <w:sz w:val="18"/>
          <w:szCs w:val="18"/>
          <w:lang w:val="en-US" w:eastAsia="en-GB"/>
        </w:rPr>
        <w:t>) developed by Carbon Footprint Italy.</w:t>
      </w:r>
    </w:p>
    <w:p w14:paraId="1A263242"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 xml:space="preserve">The requirements described in this Product Category Rules (PCR) are specified in addition to the ones indicated in the ISO standard 14067. Therefore, both the PCR and the ISO 14067 requirements shall be fulfilled </w:t>
      </w:r>
      <w:proofErr w:type="gramStart"/>
      <w:r w:rsidRPr="000129BA">
        <w:rPr>
          <w:rFonts w:ascii="Titillium Web" w:hAnsi="Titillium Web" w:cs="Times New Roman"/>
          <w:color w:val="auto"/>
          <w:sz w:val="18"/>
          <w:szCs w:val="18"/>
          <w:lang w:val="en-US" w:eastAsia="en-GB"/>
        </w:rPr>
        <w:t>in order to</w:t>
      </w:r>
      <w:proofErr w:type="gramEnd"/>
      <w:r w:rsidRPr="000129BA">
        <w:rPr>
          <w:rFonts w:ascii="Titillium Web" w:hAnsi="Titillium Web" w:cs="Times New Roman"/>
          <w:color w:val="auto"/>
          <w:sz w:val="18"/>
          <w:szCs w:val="18"/>
          <w:lang w:val="en-US" w:eastAsia="en-GB"/>
        </w:rPr>
        <w:t xml:space="preserve"> register to Carbon Footprint Italy.</w:t>
      </w:r>
    </w:p>
    <w:p w14:paraId="4662DEAD"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In fact, this PCR was conceived and developed for CFP studies. Anyway, it can also be used for EPD (Environmental Product Declaration); to do this, the additional specific regulations required by the </w:t>
      </w:r>
      <w:proofErr w:type="spellStart"/>
      <w:r w:rsidRPr="001807C3">
        <w:rPr>
          <w:rFonts w:ascii="Titillium Web" w:hAnsi="Titillium Web" w:cs="Times New Roman"/>
          <w:color w:val="auto"/>
          <w:sz w:val="18"/>
          <w:szCs w:val="18"/>
          <w:lang w:val="en-US" w:eastAsia="en-GB"/>
        </w:rPr>
        <w:t>programme</w:t>
      </w:r>
      <w:proofErr w:type="spellEnd"/>
      <w:r w:rsidRPr="001807C3">
        <w:rPr>
          <w:rFonts w:ascii="Titillium Web" w:hAnsi="Titillium Web" w:cs="Times New Roman"/>
          <w:color w:val="auto"/>
          <w:sz w:val="18"/>
          <w:szCs w:val="18"/>
          <w:lang w:val="en-US" w:eastAsia="en-GB"/>
        </w:rPr>
        <w:t xml:space="preserve"> operator selected for the EPD registration should be followed as well</w:t>
      </w:r>
      <w:r>
        <w:rPr>
          <w:rFonts w:ascii="Titillium Web" w:hAnsi="Titillium Web" w:cs="Times New Roman"/>
          <w:color w:val="auto"/>
          <w:sz w:val="18"/>
          <w:szCs w:val="18"/>
          <w:lang w:val="en-US" w:eastAsia="en-GB"/>
        </w:rPr>
        <w:t xml:space="preserve"> (see Section 4.2)</w:t>
      </w:r>
      <w:r w:rsidRPr="001807C3">
        <w:rPr>
          <w:rFonts w:ascii="Titillium Web" w:hAnsi="Titillium Web" w:cs="Times New Roman"/>
          <w:color w:val="auto"/>
          <w:sz w:val="18"/>
          <w:szCs w:val="18"/>
          <w:lang w:val="en-US" w:eastAsia="en-GB"/>
        </w:rPr>
        <w:t xml:space="preserve">. </w:t>
      </w:r>
    </w:p>
    <w:p w14:paraId="5A055E60"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So, in this PCR only the parameter reported</w:t>
      </w:r>
      <w:r>
        <w:rPr>
          <w:rFonts w:ascii="Titillium Web" w:hAnsi="Titillium Web" w:cs="Times New Roman"/>
          <w:color w:val="auto"/>
          <w:sz w:val="18"/>
          <w:szCs w:val="18"/>
          <w:lang w:val="en-US" w:eastAsia="en-GB"/>
        </w:rPr>
        <w:t xml:space="preserve"> in Section 4.1. shall be included.</w:t>
      </w:r>
    </w:p>
    <w:p w14:paraId="1B026650" w14:textId="77777777" w:rsidR="00064644" w:rsidRPr="003A55AB" w:rsidRDefault="00064644" w:rsidP="00064644">
      <w:pPr>
        <w:pStyle w:val="Titolo2"/>
        <w:rPr>
          <w:rFonts w:ascii="Titillium Web" w:hAnsi="Titillium Web"/>
          <w:b/>
          <w:bCs w:val="0"/>
          <w:color w:val="0070C0"/>
          <w:sz w:val="24"/>
          <w:szCs w:val="24"/>
          <w:lang w:val="en-US"/>
        </w:rPr>
      </w:pPr>
      <w:bookmarkStart w:id="36" w:name="_Toc86431600"/>
      <w:bookmarkStart w:id="37" w:name="_Toc88487580"/>
      <w:r w:rsidRPr="003A55AB">
        <w:rPr>
          <w:rFonts w:ascii="Titillium Web" w:hAnsi="Titillium Web"/>
          <w:b/>
          <w:bCs w:val="0"/>
          <w:caps w:val="0"/>
          <w:color w:val="0070C0"/>
          <w:sz w:val="24"/>
          <w:szCs w:val="24"/>
          <w:lang w:val="en-US"/>
        </w:rPr>
        <w:t>4.1 Impact Category Indicator Results</w:t>
      </w:r>
      <w:bookmarkEnd w:id="36"/>
      <w:bookmarkEnd w:id="37"/>
    </w:p>
    <w:p w14:paraId="461BD1F2"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The present PCR is aimed at the development of CFP. Therefore, a special focus is on the “Global Warming Potential” indicator.</w:t>
      </w:r>
    </w:p>
    <w:p w14:paraId="3452044F"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The specific GHG emissions and removals treatment in the CFP or partial CFP that shall be quantified and documented separately in the CFP study report are reported in the ISO 14067:2018, Table 1 of chapter 6.4.9.8.</w:t>
      </w:r>
    </w:p>
    <w:p w14:paraId="497C2AE8"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 xml:space="preserve">Four GWP indicators shall be declared, which differentiates greenhouse gases depending on their origin: GWP-fossil, GWP-biogenic emissions, GWP-land </w:t>
      </w:r>
      <w:proofErr w:type="gramStart"/>
      <w:r w:rsidRPr="009E25CA">
        <w:rPr>
          <w:rFonts w:ascii="Titillium Web" w:hAnsi="Titillium Web" w:cs="Times New Roman"/>
          <w:color w:val="auto"/>
          <w:sz w:val="18"/>
          <w:szCs w:val="18"/>
          <w:lang w:val="en-US" w:eastAsia="en-GB"/>
        </w:rPr>
        <w:t>use</w:t>
      </w:r>
      <w:proofErr w:type="gramEnd"/>
      <w:r w:rsidRPr="009E25CA">
        <w:rPr>
          <w:rFonts w:ascii="Titillium Web" w:hAnsi="Titillium Web" w:cs="Times New Roman"/>
          <w:color w:val="auto"/>
          <w:sz w:val="18"/>
          <w:szCs w:val="18"/>
          <w:lang w:val="en-US" w:eastAsia="en-GB"/>
        </w:rPr>
        <w:t xml:space="preserve"> and land use change (</w:t>
      </w:r>
      <w:proofErr w:type="spellStart"/>
      <w:r w:rsidRPr="009E25CA">
        <w:rPr>
          <w:rFonts w:ascii="Titillium Web" w:hAnsi="Titillium Web" w:cs="Times New Roman"/>
          <w:color w:val="auto"/>
          <w:sz w:val="18"/>
          <w:szCs w:val="18"/>
          <w:lang w:val="en-US" w:eastAsia="en-GB"/>
        </w:rPr>
        <w:t>dLuc</w:t>
      </w:r>
      <w:proofErr w:type="spellEnd"/>
      <w:r w:rsidRPr="009E25CA">
        <w:rPr>
          <w:rFonts w:ascii="Titillium Web" w:hAnsi="Titillium Web" w:cs="Times New Roman"/>
          <w:color w:val="auto"/>
          <w:sz w:val="18"/>
          <w:szCs w:val="18"/>
          <w:lang w:val="en-US" w:eastAsia="en-GB"/>
        </w:rPr>
        <w:t>), and GWP-biogenic removals, in accordance with the mentioned ISO 14067:2018 standard.</w:t>
      </w:r>
    </w:p>
    <w:p w14:paraId="3B86E8D0" w14:textId="77777777" w:rsidR="00064644" w:rsidRPr="003A55AB" w:rsidRDefault="00064644" w:rsidP="00064644">
      <w:pPr>
        <w:pStyle w:val="NormaleWeb"/>
        <w:jc w:val="both"/>
        <w:rPr>
          <w:rFonts w:ascii="Titillium Web" w:hAnsi="Titillium Web"/>
          <w:sz w:val="18"/>
          <w:szCs w:val="28"/>
          <w:lang w:val="en-US"/>
        </w:rPr>
      </w:pPr>
      <w:r w:rsidRPr="003A55AB">
        <w:rPr>
          <w:rFonts w:ascii="Titillium Web" w:hAnsi="Titillium Web"/>
          <w:sz w:val="18"/>
          <w:szCs w:val="18"/>
          <w:lang w:val="en-US"/>
        </w:rPr>
        <w:t>It should be noted that other impact categories can be relevant for the product category under assessment, other than the “</w:t>
      </w:r>
      <w:r w:rsidRPr="003A55AB">
        <w:rPr>
          <w:rFonts w:ascii="Titillium Web" w:hAnsi="Titillium Web"/>
          <w:sz w:val="18"/>
          <w:szCs w:val="28"/>
          <w:lang w:val="en-US"/>
        </w:rPr>
        <w:t xml:space="preserve">Global Warming Potential” category. Therefore, </w:t>
      </w:r>
      <w:proofErr w:type="gramStart"/>
      <w:r w:rsidRPr="003A55AB">
        <w:rPr>
          <w:rFonts w:ascii="Titillium Web" w:hAnsi="Titillium Web"/>
          <w:sz w:val="18"/>
          <w:szCs w:val="28"/>
          <w:lang w:val="en-US"/>
        </w:rPr>
        <w:t>in order to</w:t>
      </w:r>
      <w:proofErr w:type="gramEnd"/>
      <w:r w:rsidRPr="003A55AB">
        <w:rPr>
          <w:rFonts w:ascii="Titillium Web" w:hAnsi="Titillium Web"/>
          <w:sz w:val="18"/>
          <w:szCs w:val="28"/>
          <w:lang w:val="en-US"/>
        </w:rPr>
        <w:t xml:space="preserve"> integrate the CFP results and to provide a broader view of the product environmental impacts, more impact categories shall be evaluated. The detail of this option </w:t>
      </w:r>
      <w:proofErr w:type="gramStart"/>
      <w:r w:rsidRPr="003A55AB">
        <w:rPr>
          <w:rFonts w:ascii="Titillium Web" w:hAnsi="Titillium Web"/>
          <w:sz w:val="18"/>
          <w:szCs w:val="28"/>
          <w:lang w:val="en-US"/>
        </w:rPr>
        <w:t>are</w:t>
      </w:r>
      <w:proofErr w:type="gramEnd"/>
      <w:r w:rsidRPr="003A55AB">
        <w:rPr>
          <w:rFonts w:ascii="Titillium Web" w:hAnsi="Titillium Web"/>
          <w:sz w:val="18"/>
          <w:szCs w:val="28"/>
          <w:lang w:val="en-US"/>
        </w:rPr>
        <w:t xml:space="preserve"> outlined In the following sections. </w:t>
      </w:r>
    </w:p>
    <w:p w14:paraId="419E47EF" w14:textId="77777777" w:rsidR="00064644" w:rsidRDefault="00064644" w:rsidP="00064644">
      <w:pPr>
        <w:pStyle w:val="Titolo2"/>
        <w:numPr>
          <w:ilvl w:val="1"/>
          <w:numId w:val="4"/>
        </w:numPr>
        <w:tabs>
          <w:tab w:val="num" w:pos="360"/>
        </w:tabs>
        <w:ind w:left="0" w:firstLine="0"/>
        <w:rPr>
          <w:rFonts w:ascii="Titillium Web" w:hAnsi="Titillium Web"/>
          <w:b/>
          <w:bCs w:val="0"/>
          <w:color w:val="0070C0"/>
          <w:sz w:val="24"/>
          <w:szCs w:val="24"/>
          <w:lang w:val="en-US"/>
        </w:rPr>
      </w:pPr>
      <w:bookmarkStart w:id="38" w:name="_Toc86431601"/>
      <w:bookmarkStart w:id="39" w:name="_Toc88487581"/>
      <w:r>
        <w:rPr>
          <w:rFonts w:ascii="Titillium Web" w:hAnsi="Titillium Web"/>
          <w:b/>
          <w:bCs w:val="0"/>
          <w:caps w:val="0"/>
          <w:color w:val="0070C0"/>
          <w:sz w:val="24"/>
          <w:szCs w:val="24"/>
          <w:lang w:val="en-US"/>
        </w:rPr>
        <w:t>PCR Use for EPD Purpose</w:t>
      </w:r>
      <w:bookmarkEnd w:id="38"/>
      <w:bookmarkEnd w:id="39"/>
    </w:p>
    <w:p w14:paraId="703A6387"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Pr>
          <w:rFonts w:ascii="Titillium Web" w:hAnsi="Titillium Web" w:cs="Times New Roman"/>
          <w:color w:val="auto"/>
          <w:sz w:val="18"/>
          <w:szCs w:val="18"/>
          <w:lang w:val="en-US" w:eastAsia="en-GB"/>
        </w:rPr>
        <w:t>This</w:t>
      </w:r>
      <w:r w:rsidRPr="00845503">
        <w:rPr>
          <w:rFonts w:ascii="Titillium Web" w:hAnsi="Titillium Web" w:cs="Times New Roman"/>
          <w:color w:val="auto"/>
          <w:sz w:val="18"/>
          <w:szCs w:val="18"/>
          <w:lang w:val="en-US" w:eastAsia="en-GB"/>
        </w:rPr>
        <w:t xml:space="preserve"> PCR was conceived and developed for CFP studies. Anyway, it can also be used for EPD (Environmental Product Declaration); to do this, </w:t>
      </w:r>
      <w:r>
        <w:rPr>
          <w:rFonts w:ascii="Titillium Web" w:hAnsi="Titillium Web" w:cs="Times New Roman"/>
          <w:color w:val="auto"/>
          <w:sz w:val="18"/>
          <w:szCs w:val="18"/>
          <w:lang w:val="en-US" w:eastAsia="en-GB"/>
        </w:rPr>
        <w:t xml:space="preserve">other predetermined parameters </w:t>
      </w:r>
      <w:r w:rsidRPr="00845503">
        <w:rPr>
          <w:rFonts w:ascii="Titillium Web" w:hAnsi="Titillium Web" w:cs="Times New Roman"/>
          <w:color w:val="auto"/>
          <w:sz w:val="18"/>
          <w:szCs w:val="18"/>
          <w:lang w:val="en-US" w:eastAsia="en-GB"/>
        </w:rPr>
        <w:t xml:space="preserve">required by the </w:t>
      </w:r>
      <w:proofErr w:type="spellStart"/>
      <w:r w:rsidRPr="00845503">
        <w:rPr>
          <w:rFonts w:ascii="Titillium Web" w:hAnsi="Titillium Web" w:cs="Times New Roman"/>
          <w:color w:val="auto"/>
          <w:sz w:val="18"/>
          <w:szCs w:val="18"/>
          <w:lang w:val="en-US" w:eastAsia="en-GB"/>
        </w:rPr>
        <w:t>programme</w:t>
      </w:r>
      <w:proofErr w:type="spellEnd"/>
      <w:r w:rsidRPr="00845503">
        <w:rPr>
          <w:rFonts w:ascii="Titillium Web" w:hAnsi="Titillium Web" w:cs="Times New Roman"/>
          <w:color w:val="auto"/>
          <w:sz w:val="18"/>
          <w:szCs w:val="18"/>
          <w:lang w:val="en-US" w:eastAsia="en-GB"/>
        </w:rPr>
        <w:t xml:space="preserve"> operator selected for the EPD registration </w:t>
      </w:r>
      <w:r>
        <w:rPr>
          <w:rFonts w:ascii="Titillium Web" w:hAnsi="Titillium Web" w:cs="Times New Roman"/>
          <w:color w:val="auto"/>
          <w:sz w:val="18"/>
          <w:szCs w:val="18"/>
          <w:lang w:val="en-US" w:eastAsia="en-GB"/>
        </w:rPr>
        <w:t>shall</w:t>
      </w:r>
      <w:r w:rsidRPr="00845503">
        <w:rPr>
          <w:rFonts w:ascii="Titillium Web" w:hAnsi="Titillium Web" w:cs="Times New Roman"/>
          <w:color w:val="auto"/>
          <w:sz w:val="18"/>
          <w:szCs w:val="18"/>
          <w:lang w:val="en-US" w:eastAsia="en-GB"/>
        </w:rPr>
        <w:t xml:space="preserve"> be followe</w:t>
      </w:r>
      <w:r>
        <w:rPr>
          <w:rFonts w:ascii="Titillium Web" w:hAnsi="Titillium Web" w:cs="Times New Roman"/>
          <w:color w:val="auto"/>
          <w:sz w:val="18"/>
          <w:szCs w:val="18"/>
          <w:lang w:val="en-US" w:eastAsia="en-GB"/>
        </w:rPr>
        <w:t>d. These parameters are:</w:t>
      </w:r>
    </w:p>
    <w:p w14:paraId="0B092BBB" w14:textId="77777777" w:rsidR="00064644"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Pr>
          <w:rFonts w:ascii="Titillium Web" w:hAnsi="Titillium Web" w:cs="Times New Roman"/>
          <w:color w:val="auto"/>
          <w:sz w:val="18"/>
          <w:szCs w:val="18"/>
          <w:lang w:val="en-US" w:eastAsia="en-GB"/>
        </w:rPr>
        <w:t>other</w:t>
      </w:r>
      <w:r w:rsidRPr="001807C3">
        <w:t xml:space="preserve"> </w:t>
      </w:r>
      <w:r w:rsidRPr="001807C3">
        <w:rPr>
          <w:rFonts w:ascii="Titillium Web" w:hAnsi="Titillium Web" w:cs="Times New Roman"/>
          <w:color w:val="auto"/>
          <w:sz w:val="18"/>
          <w:szCs w:val="18"/>
          <w:lang w:val="en-US" w:eastAsia="en-GB"/>
        </w:rPr>
        <w:t xml:space="preserve">impact category indicator </w:t>
      </w:r>
      <w:proofErr w:type="gramStart"/>
      <w:r w:rsidRPr="001807C3">
        <w:rPr>
          <w:rFonts w:ascii="Titillium Web" w:hAnsi="Titillium Web" w:cs="Times New Roman"/>
          <w:color w:val="auto"/>
          <w:sz w:val="18"/>
          <w:szCs w:val="18"/>
          <w:lang w:val="en-US" w:eastAsia="en-GB"/>
        </w:rPr>
        <w:t>results</w:t>
      </w:r>
      <w:r>
        <w:rPr>
          <w:rFonts w:ascii="Titillium Web" w:hAnsi="Titillium Web" w:cs="Times New Roman"/>
          <w:color w:val="auto"/>
          <w:sz w:val="18"/>
          <w:szCs w:val="18"/>
          <w:lang w:val="en-US" w:eastAsia="en-GB"/>
        </w:rPr>
        <w:t>;</w:t>
      </w:r>
      <w:proofErr w:type="gramEnd"/>
    </w:p>
    <w:p w14:paraId="79DF57CF"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inventory results that are elementary </w:t>
      </w:r>
      <w:proofErr w:type="gramStart"/>
      <w:r w:rsidRPr="001807C3">
        <w:rPr>
          <w:rFonts w:ascii="Titillium Web" w:hAnsi="Titillium Web" w:cs="Times New Roman"/>
          <w:color w:val="auto"/>
          <w:sz w:val="18"/>
          <w:szCs w:val="18"/>
          <w:lang w:val="en-US" w:eastAsia="en-GB"/>
        </w:rPr>
        <w:t>flows</w:t>
      </w:r>
      <w:r>
        <w:rPr>
          <w:rFonts w:ascii="Titillium Web" w:hAnsi="Titillium Web" w:cs="Times New Roman"/>
          <w:color w:val="auto"/>
          <w:sz w:val="18"/>
          <w:szCs w:val="18"/>
          <w:lang w:val="en-US" w:eastAsia="en-GB"/>
        </w:rPr>
        <w:t>;</w:t>
      </w:r>
      <w:proofErr w:type="gramEnd"/>
    </w:p>
    <w:p w14:paraId="083886DB"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data that do not represent elementary </w:t>
      </w:r>
      <w:proofErr w:type="gramStart"/>
      <w:r w:rsidRPr="001807C3">
        <w:rPr>
          <w:rFonts w:ascii="Titillium Web" w:hAnsi="Titillium Web" w:cs="Times New Roman"/>
          <w:color w:val="auto"/>
          <w:sz w:val="18"/>
          <w:szCs w:val="18"/>
          <w:lang w:val="en-US" w:eastAsia="en-GB"/>
        </w:rPr>
        <w:t>flows</w:t>
      </w:r>
      <w:r>
        <w:rPr>
          <w:rFonts w:ascii="Titillium Web" w:hAnsi="Titillium Web" w:cs="Times New Roman"/>
          <w:color w:val="auto"/>
          <w:sz w:val="18"/>
          <w:szCs w:val="18"/>
          <w:lang w:val="en-US" w:eastAsia="en-GB"/>
        </w:rPr>
        <w:t>;</w:t>
      </w:r>
      <w:proofErr w:type="gramEnd"/>
    </w:p>
    <w:p w14:paraId="7B9A2D56"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additional environmental information</w:t>
      </w:r>
      <w:r>
        <w:rPr>
          <w:rFonts w:ascii="Titillium Web" w:hAnsi="Titillium Web" w:cs="Times New Roman"/>
          <w:color w:val="auto"/>
          <w:sz w:val="18"/>
          <w:szCs w:val="18"/>
          <w:lang w:val="en-US" w:eastAsia="en-GB"/>
        </w:rPr>
        <w:t>.</w:t>
      </w:r>
    </w:p>
    <w:p w14:paraId="64CA3BC5" w14:textId="77777777" w:rsidR="00064644" w:rsidRPr="003A55AB" w:rsidRDefault="00064644" w:rsidP="00064644">
      <w:pPr>
        <w:rPr>
          <w:lang w:val="en-US"/>
        </w:rPr>
      </w:pPr>
    </w:p>
    <w:p w14:paraId="3D63D466"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39D8331C" w14:textId="77777777" w:rsidR="00064644" w:rsidRPr="001807C3" w:rsidRDefault="00064644" w:rsidP="00064644">
      <w:pPr>
        <w:pStyle w:val="Titolo1"/>
        <w:numPr>
          <w:ilvl w:val="0"/>
          <w:numId w:val="4"/>
        </w:numPr>
        <w:tabs>
          <w:tab w:val="num" w:pos="360"/>
        </w:tabs>
        <w:ind w:left="0" w:firstLine="0"/>
        <w:rPr>
          <w:rFonts w:ascii="Titillium Web" w:hAnsi="Titillium Web"/>
          <w:b/>
          <w:bCs w:val="0"/>
          <w:caps w:val="0"/>
          <w:color w:val="0070C0"/>
          <w:lang w:val="en-US"/>
        </w:rPr>
      </w:pPr>
      <w:bookmarkStart w:id="40" w:name="_Toc86431602"/>
      <w:bookmarkStart w:id="41" w:name="_Toc88487582"/>
      <w:r w:rsidRPr="001807C3">
        <w:rPr>
          <w:rFonts w:ascii="Titillium Web" w:hAnsi="Titillium Web"/>
          <w:b/>
          <w:bCs w:val="0"/>
          <w:caps w:val="0"/>
          <w:color w:val="0070C0"/>
          <w:lang w:val="en-US"/>
        </w:rPr>
        <w:lastRenderedPageBreak/>
        <w:t>COMPLEMENTARY INFORMATION</w:t>
      </w:r>
      <w:bookmarkEnd w:id="40"/>
      <w:bookmarkEnd w:id="41"/>
    </w:p>
    <w:p w14:paraId="362D7BC9" w14:textId="77777777" w:rsidR="00064644" w:rsidRPr="00DF5F9C" w:rsidRDefault="00064644" w:rsidP="00064644">
      <w:pPr>
        <w:pStyle w:val="Titolo2"/>
        <w:rPr>
          <w:rFonts w:ascii="Titillium Web" w:hAnsi="Titillium Web"/>
          <w:b/>
          <w:bCs w:val="0"/>
          <w:color w:val="0070C0"/>
          <w:sz w:val="24"/>
          <w:szCs w:val="24"/>
          <w:lang w:val="en-US"/>
        </w:rPr>
      </w:pPr>
      <w:bookmarkStart w:id="42" w:name="_Toc86431603"/>
      <w:bookmarkStart w:id="43" w:name="_Toc88487583"/>
      <w:r w:rsidRPr="00DF5F9C">
        <w:rPr>
          <w:rFonts w:ascii="Titillium Web" w:hAnsi="Titillium Web"/>
          <w:b/>
          <w:bCs w:val="0"/>
          <w:caps w:val="0"/>
          <w:color w:val="0070C0"/>
          <w:sz w:val="24"/>
          <w:szCs w:val="24"/>
          <w:lang w:val="en-US"/>
        </w:rPr>
        <w:t xml:space="preserve">5.1 PCR Use </w:t>
      </w:r>
      <w:r>
        <w:rPr>
          <w:rFonts w:ascii="Titillium Web" w:hAnsi="Titillium Web"/>
          <w:b/>
          <w:bCs w:val="0"/>
          <w:caps w:val="0"/>
          <w:color w:val="0070C0"/>
          <w:sz w:val="24"/>
          <w:szCs w:val="24"/>
          <w:lang w:val="en-US"/>
        </w:rPr>
        <w:t>Within</w:t>
      </w:r>
      <w:r w:rsidRPr="00DF5F9C">
        <w:rPr>
          <w:rFonts w:ascii="Titillium Web" w:hAnsi="Titillium Web"/>
          <w:b/>
          <w:bCs w:val="0"/>
          <w:caps w:val="0"/>
          <w:color w:val="0070C0"/>
          <w:sz w:val="24"/>
          <w:szCs w:val="24"/>
          <w:lang w:val="en-US"/>
        </w:rPr>
        <w:t xml:space="preserve"> Other </w:t>
      </w:r>
      <w:proofErr w:type="spellStart"/>
      <w:r w:rsidRPr="00DF5F9C">
        <w:rPr>
          <w:rFonts w:ascii="Titillium Web" w:hAnsi="Titillium Web"/>
          <w:b/>
          <w:bCs w:val="0"/>
          <w:caps w:val="0"/>
          <w:color w:val="0070C0"/>
          <w:sz w:val="24"/>
          <w:szCs w:val="24"/>
          <w:lang w:val="en-US"/>
        </w:rPr>
        <w:t>Programme</w:t>
      </w:r>
      <w:proofErr w:type="spellEnd"/>
      <w:r w:rsidRPr="00DF5F9C">
        <w:rPr>
          <w:rFonts w:ascii="Titillium Web" w:hAnsi="Titillium Web"/>
          <w:b/>
          <w:bCs w:val="0"/>
          <w:caps w:val="0"/>
          <w:color w:val="0070C0"/>
          <w:sz w:val="24"/>
          <w:szCs w:val="24"/>
          <w:lang w:val="en-US"/>
        </w:rPr>
        <w:t xml:space="preserve"> Operators</w:t>
      </w:r>
      <w:bookmarkEnd w:id="42"/>
      <w:bookmarkEnd w:id="43"/>
    </w:p>
    <w:p w14:paraId="09F293DB"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Carbon Footprint Italy believes in the importance of sharing different existing experiences and considers the different </w:t>
      </w:r>
      <w:proofErr w:type="spellStart"/>
      <w:r w:rsidRPr="001807C3">
        <w:rPr>
          <w:rFonts w:ascii="Titillium Web" w:hAnsi="Titillium Web" w:cs="Times New Roman"/>
          <w:color w:val="auto"/>
          <w:sz w:val="18"/>
          <w:szCs w:val="18"/>
          <w:lang w:val="en-US" w:eastAsia="en-GB"/>
        </w:rPr>
        <w:t>Programme</w:t>
      </w:r>
      <w:proofErr w:type="spellEnd"/>
      <w:r w:rsidRPr="001807C3">
        <w:rPr>
          <w:rFonts w:ascii="Titillium Web" w:hAnsi="Titillium Web" w:cs="Times New Roman"/>
          <w:color w:val="auto"/>
          <w:sz w:val="18"/>
          <w:szCs w:val="18"/>
          <w:lang w:val="en-US" w:eastAsia="en-GB"/>
        </w:rPr>
        <w:t xml:space="preserve"> Operators as organizations that cooperate for a global climate transition.</w:t>
      </w:r>
    </w:p>
    <w:p w14:paraId="3A1EF720"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CFI maintains the copyright of the document to ensure that it is possible to publish, update when necessary, and available to all </w:t>
      </w:r>
      <w:proofErr w:type="spellStart"/>
      <w:r w:rsidRPr="001807C3">
        <w:rPr>
          <w:rFonts w:ascii="Titillium Web" w:hAnsi="Titillium Web" w:cs="Times New Roman"/>
          <w:color w:val="auto"/>
          <w:sz w:val="18"/>
          <w:szCs w:val="18"/>
          <w:lang w:val="en-US" w:eastAsia="en-GB"/>
        </w:rPr>
        <w:t>organisations</w:t>
      </w:r>
      <w:proofErr w:type="spellEnd"/>
      <w:r w:rsidRPr="001807C3">
        <w:rPr>
          <w:rFonts w:ascii="Titillium Web" w:hAnsi="Titillium Web" w:cs="Times New Roman"/>
          <w:color w:val="auto"/>
          <w:sz w:val="18"/>
          <w:szCs w:val="18"/>
          <w:lang w:val="en-US" w:eastAsia="en-GB"/>
        </w:rPr>
        <w:t xml:space="preserve"> to develop and register CFPs. Stakeholders participating in PCR development should be acknowledged in the final document and on the website.</w:t>
      </w:r>
    </w:p>
    <w:p w14:paraId="50FB53CD"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This PCR can be openly used by each CFP or EPD </w:t>
      </w:r>
      <w:proofErr w:type="spellStart"/>
      <w:r w:rsidRPr="001807C3">
        <w:rPr>
          <w:rFonts w:ascii="Titillium Web" w:hAnsi="Titillium Web" w:cs="Times New Roman"/>
          <w:color w:val="auto"/>
          <w:sz w:val="18"/>
          <w:szCs w:val="18"/>
          <w:lang w:val="en-US" w:eastAsia="en-GB"/>
        </w:rPr>
        <w:t>Programme</w:t>
      </w:r>
      <w:proofErr w:type="spellEnd"/>
      <w:r w:rsidRPr="001807C3">
        <w:rPr>
          <w:rFonts w:ascii="Titillium Web" w:hAnsi="Titillium Web" w:cs="Times New Roman"/>
          <w:color w:val="auto"/>
          <w:sz w:val="18"/>
          <w:szCs w:val="18"/>
          <w:lang w:val="en-US" w:eastAsia="en-GB"/>
        </w:rPr>
        <w:t xml:space="preserve"> Operator, if the original source of the know-how is mentioned (namely, the “PCR </w:t>
      </w:r>
      <w:r w:rsidRPr="005609BE">
        <w:rPr>
          <w:rFonts w:ascii="Titillium Web" w:hAnsi="Titillium Web" w:cs="Times New Roman"/>
          <w:color w:val="auto"/>
          <w:sz w:val="18"/>
          <w:szCs w:val="18"/>
          <w:highlight w:val="yellow"/>
          <w:lang w:val="en-US" w:eastAsia="en-GB"/>
        </w:rPr>
        <w:t>202X-XXXX</w:t>
      </w:r>
      <w:r w:rsidRPr="001807C3">
        <w:rPr>
          <w:rFonts w:ascii="Titillium Web" w:hAnsi="Titillium Web" w:cs="Times New Roman"/>
          <w:color w:val="auto"/>
          <w:sz w:val="18"/>
          <w:szCs w:val="18"/>
          <w:lang w:val="en-US" w:eastAsia="en-GB"/>
        </w:rPr>
        <w:t>", developed by Carbon Footprint Italy).</w:t>
      </w:r>
    </w:p>
    <w:p w14:paraId="54CABCC2" w14:textId="77777777" w:rsidR="00064644" w:rsidRPr="003A55AB" w:rsidRDefault="00064644" w:rsidP="00064644">
      <w:pPr>
        <w:pStyle w:val="Titolo2"/>
        <w:rPr>
          <w:rFonts w:ascii="Titillium Web" w:hAnsi="Titillium Web"/>
          <w:b/>
          <w:bCs w:val="0"/>
          <w:color w:val="0070C0"/>
          <w:sz w:val="24"/>
          <w:szCs w:val="24"/>
          <w:lang w:val="en-US"/>
        </w:rPr>
      </w:pPr>
      <w:bookmarkStart w:id="44" w:name="_Toc86431604"/>
      <w:bookmarkStart w:id="45" w:name="_Toc88487584"/>
      <w:r w:rsidRPr="003A55AB">
        <w:rPr>
          <w:rFonts w:ascii="Titillium Web" w:hAnsi="Titillium Web"/>
          <w:b/>
          <w:bCs w:val="0"/>
          <w:caps w:val="0"/>
          <w:color w:val="0070C0"/>
          <w:sz w:val="24"/>
          <w:szCs w:val="24"/>
          <w:lang w:val="en-US"/>
        </w:rPr>
        <w:t>5.2 Glossary</w:t>
      </w:r>
      <w:bookmarkEnd w:id="44"/>
      <w:bookmarkEnd w:id="45"/>
    </w:p>
    <w:p w14:paraId="00B83DCA"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CO</w:t>
      </w:r>
      <w:r w:rsidRPr="000129BA">
        <w:rPr>
          <w:rFonts w:ascii="Titillium Web" w:hAnsi="Titillium Web" w:cs="Times New Roman"/>
          <w:color w:val="auto"/>
          <w:sz w:val="18"/>
          <w:szCs w:val="18"/>
          <w:vertAlign w:val="subscript"/>
          <w:lang w:val="en-US" w:eastAsia="en-GB"/>
        </w:rPr>
        <w:t>2</w:t>
      </w:r>
      <w:r w:rsidRPr="000129BA">
        <w:rPr>
          <w:rFonts w:ascii="Titillium Web" w:hAnsi="Titillium Web" w:cs="Times New Roman"/>
          <w:color w:val="auto"/>
          <w:sz w:val="18"/>
          <w:szCs w:val="18"/>
          <w:lang w:val="en-US" w:eastAsia="en-GB"/>
        </w:rPr>
        <w:tab/>
        <w:t>Carbon dioxide</w:t>
      </w:r>
    </w:p>
    <w:p w14:paraId="372723A8"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CPC</w:t>
      </w:r>
      <w:r w:rsidRPr="003A55AB">
        <w:rPr>
          <w:rFonts w:ascii="Titillium Web" w:hAnsi="Titillium Web"/>
          <w:sz w:val="18"/>
          <w:szCs w:val="28"/>
          <w:lang w:val="en-US"/>
        </w:rPr>
        <w:tab/>
        <w:t>Central product classification</w:t>
      </w:r>
    </w:p>
    <w:p w14:paraId="738FC37D"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CFI</w:t>
      </w:r>
      <w:r w:rsidRPr="003A55AB">
        <w:rPr>
          <w:rFonts w:ascii="Titillium Web" w:hAnsi="Titillium Web"/>
          <w:sz w:val="18"/>
          <w:szCs w:val="28"/>
          <w:lang w:val="en-US"/>
        </w:rPr>
        <w:tab/>
        <w:t>Carbon Footprint Italy</w:t>
      </w:r>
    </w:p>
    <w:p w14:paraId="6D4B8772"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CFP</w:t>
      </w:r>
      <w:r w:rsidRPr="003A55AB">
        <w:rPr>
          <w:rFonts w:ascii="Titillium Web" w:hAnsi="Titillium Web"/>
          <w:sz w:val="18"/>
          <w:szCs w:val="28"/>
          <w:lang w:val="en-US"/>
        </w:rPr>
        <w:tab/>
        <w:t>Carbon Footprint of Products</w:t>
      </w:r>
    </w:p>
    <w:p w14:paraId="05981621"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GHG</w:t>
      </w:r>
      <w:r w:rsidRPr="003A55AB">
        <w:rPr>
          <w:rFonts w:ascii="Titillium Web" w:hAnsi="Titillium Web"/>
          <w:sz w:val="18"/>
          <w:szCs w:val="28"/>
          <w:lang w:val="en-US"/>
        </w:rPr>
        <w:tab/>
        <w:t>Greenhouse gases</w:t>
      </w:r>
    </w:p>
    <w:p w14:paraId="3695B140"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w:t>
      </w:r>
      <w:r w:rsidRPr="003A55AB">
        <w:rPr>
          <w:rFonts w:ascii="Titillium Web" w:hAnsi="Titillium Web"/>
          <w:sz w:val="18"/>
          <w:szCs w:val="28"/>
          <w:lang w:val="en-US"/>
        </w:rPr>
        <w:tab/>
        <w:t>International Organization for Standardization</w:t>
      </w:r>
    </w:p>
    <w:p w14:paraId="27BDC61C"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kg</w:t>
      </w:r>
      <w:r w:rsidRPr="003A55AB">
        <w:rPr>
          <w:rFonts w:ascii="Titillium Web" w:hAnsi="Titillium Web"/>
          <w:sz w:val="18"/>
          <w:szCs w:val="28"/>
          <w:lang w:val="en-US"/>
        </w:rPr>
        <w:tab/>
        <w:t>kilogram</w:t>
      </w:r>
    </w:p>
    <w:p w14:paraId="3665DC31"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LCA</w:t>
      </w:r>
      <w:r w:rsidRPr="003A55AB">
        <w:rPr>
          <w:rFonts w:ascii="Titillium Web" w:hAnsi="Titillium Web"/>
          <w:sz w:val="18"/>
          <w:szCs w:val="28"/>
          <w:lang w:val="en-US"/>
        </w:rPr>
        <w:tab/>
        <w:t>Life cycle assessment</w:t>
      </w:r>
    </w:p>
    <w:p w14:paraId="7CBD0A3B"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PCR </w:t>
      </w:r>
      <w:r w:rsidRPr="003A55AB">
        <w:rPr>
          <w:rFonts w:ascii="Titillium Web" w:hAnsi="Titillium Web"/>
          <w:sz w:val="18"/>
          <w:szCs w:val="28"/>
          <w:lang w:val="en-US"/>
        </w:rPr>
        <w:tab/>
        <w:t>Product Category Rules</w:t>
      </w:r>
    </w:p>
    <w:p w14:paraId="7B3E6FBE"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UN</w:t>
      </w:r>
      <w:r w:rsidRPr="003A55AB">
        <w:rPr>
          <w:rFonts w:ascii="Titillium Web" w:hAnsi="Titillium Web"/>
          <w:sz w:val="18"/>
          <w:szCs w:val="28"/>
          <w:lang w:val="en-US"/>
        </w:rPr>
        <w:tab/>
        <w:t>United Nations</w:t>
      </w:r>
    </w:p>
    <w:p w14:paraId="2551C509" w14:textId="77777777" w:rsidR="00064644" w:rsidRPr="003A55AB" w:rsidRDefault="00064644" w:rsidP="00064644">
      <w:pPr>
        <w:pStyle w:val="Titolo2"/>
        <w:rPr>
          <w:rFonts w:ascii="Titillium Web" w:hAnsi="Titillium Web"/>
          <w:b/>
          <w:bCs w:val="0"/>
          <w:color w:val="0070C0"/>
          <w:sz w:val="24"/>
          <w:szCs w:val="24"/>
          <w:lang w:val="en-US"/>
        </w:rPr>
      </w:pPr>
      <w:bookmarkStart w:id="46" w:name="_Ref429559127"/>
      <w:bookmarkStart w:id="47" w:name="_Ref505238855"/>
      <w:bookmarkStart w:id="48" w:name="_Toc86431605"/>
      <w:bookmarkStart w:id="49" w:name="_Toc88487585"/>
      <w:r w:rsidRPr="003A55AB">
        <w:rPr>
          <w:rFonts w:ascii="Titillium Web" w:hAnsi="Titillium Web"/>
          <w:b/>
          <w:bCs w:val="0"/>
          <w:caps w:val="0"/>
          <w:color w:val="0070C0"/>
          <w:sz w:val="24"/>
          <w:szCs w:val="24"/>
          <w:lang w:val="en-US"/>
        </w:rPr>
        <w:t xml:space="preserve">5.3 </w:t>
      </w:r>
      <w:bookmarkEnd w:id="46"/>
      <w:bookmarkEnd w:id="47"/>
      <w:r w:rsidRPr="003A55AB">
        <w:rPr>
          <w:rFonts w:ascii="Titillium Web" w:hAnsi="Titillium Web"/>
          <w:b/>
          <w:bCs w:val="0"/>
          <w:caps w:val="0"/>
          <w:color w:val="0070C0"/>
          <w:sz w:val="24"/>
          <w:szCs w:val="24"/>
          <w:lang w:val="en-US"/>
        </w:rPr>
        <w:t>Bibliography</w:t>
      </w:r>
      <w:bookmarkEnd w:id="48"/>
      <w:bookmarkEnd w:id="49"/>
    </w:p>
    <w:p w14:paraId="4D00AB3B"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 xml:space="preserve">ISO (2000), ISO 14020:2000, Environmental </w:t>
      </w:r>
      <w:proofErr w:type="gramStart"/>
      <w:r w:rsidRPr="000129BA">
        <w:rPr>
          <w:rFonts w:ascii="Titillium Web" w:hAnsi="Titillium Web" w:cs="Times New Roman"/>
          <w:color w:val="auto"/>
          <w:sz w:val="18"/>
          <w:szCs w:val="18"/>
          <w:lang w:val="en-US" w:eastAsia="en-GB"/>
        </w:rPr>
        <w:t>labels</w:t>
      </w:r>
      <w:proofErr w:type="gramEnd"/>
      <w:r w:rsidRPr="000129BA">
        <w:rPr>
          <w:rFonts w:ascii="Titillium Web" w:hAnsi="Titillium Web" w:cs="Times New Roman"/>
          <w:color w:val="auto"/>
          <w:sz w:val="18"/>
          <w:szCs w:val="18"/>
          <w:lang w:val="en-US" w:eastAsia="en-GB"/>
        </w:rPr>
        <w:t xml:space="preserve"> and declarations – General principles</w:t>
      </w:r>
    </w:p>
    <w:p w14:paraId="2DB5E2C8"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ISO (2017), ISO 14026:2017, Environmental labels and declarations – Principles, </w:t>
      </w:r>
      <w:proofErr w:type="gramStart"/>
      <w:r w:rsidRPr="003A55AB">
        <w:rPr>
          <w:rFonts w:ascii="Titillium Web" w:hAnsi="Titillium Web"/>
          <w:sz w:val="18"/>
          <w:szCs w:val="28"/>
          <w:lang w:val="en-US"/>
        </w:rPr>
        <w:t>requirements</w:t>
      </w:r>
      <w:proofErr w:type="gramEnd"/>
      <w:r w:rsidRPr="003A55AB">
        <w:rPr>
          <w:rFonts w:ascii="Titillium Web" w:hAnsi="Titillium Web"/>
          <w:sz w:val="18"/>
          <w:szCs w:val="28"/>
          <w:lang w:val="en-US"/>
        </w:rPr>
        <w:t xml:space="preserve"> and guidelines for communication of footprint information</w:t>
      </w:r>
    </w:p>
    <w:p w14:paraId="35C9DF29"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 (2006b), ISO 14040:2006, Environmental management – Life cycle assessment – Principles and framework</w:t>
      </w:r>
    </w:p>
    <w:p w14:paraId="1C82ECD5"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 (2006c), ISO 14044: 2006, Environmental management – Life cycle assessment – Requirements and guidelines</w:t>
      </w:r>
    </w:p>
    <w:p w14:paraId="65C45F0C"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ISO (2018), ISO 14067:2018, Greenhouse gases – Carbon footprint of products – Requirements and guidelines for quantification </w:t>
      </w:r>
    </w:p>
    <w:p w14:paraId="397F4DFD" w14:textId="77777777" w:rsidR="00064644" w:rsidRDefault="00064644" w:rsidP="00064644">
      <w:pPr>
        <w:rPr>
          <w:rFonts w:ascii="Titillium Web" w:hAnsi="Titillium Web"/>
          <w:sz w:val="18"/>
          <w:szCs w:val="28"/>
          <w:lang w:val="en-US"/>
        </w:rPr>
      </w:pPr>
      <w:r w:rsidRPr="003A55AB">
        <w:rPr>
          <w:rFonts w:ascii="Titillium Web" w:hAnsi="Titillium Web"/>
          <w:sz w:val="18"/>
          <w:szCs w:val="28"/>
          <w:lang w:val="en-US"/>
        </w:rPr>
        <w:t>PQ 04 PCR Development, Carbon Footprint Italy</w:t>
      </w:r>
    </w:p>
    <w:p w14:paraId="63DFBBB3" w14:textId="77777777" w:rsidR="00064644" w:rsidRPr="003A55AB" w:rsidRDefault="00064644" w:rsidP="00064644">
      <w:pPr>
        <w:rPr>
          <w:rFonts w:ascii="Titillium Web" w:hAnsi="Titillium Web"/>
          <w:sz w:val="18"/>
          <w:szCs w:val="28"/>
          <w:lang w:val="en-US"/>
        </w:rPr>
      </w:pPr>
      <w:r w:rsidRPr="005609BE">
        <w:rPr>
          <w:rFonts w:ascii="Titillium Web" w:hAnsi="Titillium Web"/>
          <w:sz w:val="18"/>
          <w:szCs w:val="28"/>
          <w:highlight w:val="yellow"/>
          <w:lang w:val="en-US"/>
        </w:rPr>
        <w:t>XXX</w:t>
      </w:r>
    </w:p>
    <w:p w14:paraId="1930A53C" w14:textId="77777777" w:rsidR="00064644" w:rsidRPr="003A55AB" w:rsidRDefault="00064644" w:rsidP="00064644">
      <w:pPr>
        <w:pStyle w:val="Titolo2"/>
        <w:rPr>
          <w:rFonts w:ascii="Titillium Web" w:hAnsi="Titillium Web"/>
          <w:b/>
          <w:bCs w:val="0"/>
          <w:color w:val="0070C0"/>
          <w:sz w:val="24"/>
          <w:szCs w:val="24"/>
          <w:lang w:val="en-US"/>
        </w:rPr>
      </w:pPr>
      <w:bookmarkStart w:id="50" w:name="_Toc86431606"/>
      <w:bookmarkStart w:id="51" w:name="_Toc88487586"/>
      <w:r w:rsidRPr="003A55AB">
        <w:rPr>
          <w:rFonts w:ascii="Titillium Web" w:hAnsi="Titillium Web"/>
          <w:b/>
          <w:bCs w:val="0"/>
          <w:caps w:val="0"/>
          <w:color w:val="0070C0"/>
          <w:sz w:val="24"/>
          <w:szCs w:val="24"/>
          <w:lang w:val="en-US"/>
        </w:rPr>
        <w:t>5.4 Underlying Studies</w:t>
      </w:r>
      <w:bookmarkEnd w:id="50"/>
      <w:bookmarkEnd w:id="51"/>
    </w:p>
    <w:p w14:paraId="7A3FB527"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The methodological choices made during the development of this PCR (functional unit/declared unit, system boundary, allocation methods, impact categories, data quality rules, etc.) in this PCR were primarily based on the following underlying studies:</w:t>
      </w:r>
    </w:p>
    <w:p w14:paraId="79158882" w14:textId="77777777" w:rsidR="00064644" w:rsidRPr="005609BE" w:rsidRDefault="00064644" w:rsidP="00064644">
      <w:pPr>
        <w:pStyle w:val="ListaPunkter"/>
        <w:numPr>
          <w:ilvl w:val="0"/>
          <w:numId w:val="5"/>
        </w:numPr>
        <w:jc w:val="both"/>
        <w:rPr>
          <w:rFonts w:ascii="Titillium Web" w:hAnsi="Titillium Web"/>
          <w:i/>
          <w:sz w:val="18"/>
          <w:szCs w:val="28"/>
          <w:highlight w:val="yellow"/>
          <w:lang w:val="en-US"/>
        </w:rPr>
      </w:pPr>
      <w:r w:rsidRPr="005609BE">
        <w:rPr>
          <w:rFonts w:ascii="Titillium Web" w:hAnsi="Titillium Web"/>
          <w:i/>
          <w:sz w:val="18"/>
          <w:szCs w:val="28"/>
          <w:highlight w:val="yellow"/>
          <w:lang w:val="en-US"/>
        </w:rPr>
        <w:t>XXX</w:t>
      </w:r>
    </w:p>
    <w:p w14:paraId="4A22E06E" w14:textId="77777777" w:rsidR="00064644" w:rsidRPr="003A55AB" w:rsidRDefault="00064644" w:rsidP="00064644">
      <w:pPr>
        <w:pStyle w:val="Titolo2"/>
        <w:rPr>
          <w:rFonts w:ascii="Titillium Web" w:hAnsi="Titillium Web"/>
          <w:b/>
          <w:bCs w:val="0"/>
          <w:color w:val="0070C0"/>
          <w:sz w:val="24"/>
          <w:szCs w:val="24"/>
          <w:lang w:val="en-US"/>
        </w:rPr>
      </w:pPr>
      <w:bookmarkStart w:id="52" w:name="_Toc86431607"/>
      <w:bookmarkStart w:id="53" w:name="_Toc88487587"/>
      <w:r w:rsidRPr="003A55AB">
        <w:rPr>
          <w:rFonts w:ascii="Titillium Web" w:hAnsi="Titillium Web"/>
          <w:b/>
          <w:bCs w:val="0"/>
          <w:caps w:val="0"/>
          <w:color w:val="0070C0"/>
          <w:sz w:val="24"/>
          <w:szCs w:val="24"/>
          <w:lang w:val="en-US"/>
        </w:rPr>
        <w:t>5.</w:t>
      </w:r>
      <w:r>
        <w:rPr>
          <w:rFonts w:ascii="Titillium Web" w:hAnsi="Titillium Web"/>
          <w:b/>
          <w:bCs w:val="0"/>
          <w:caps w:val="0"/>
          <w:color w:val="0070C0"/>
          <w:sz w:val="24"/>
          <w:szCs w:val="24"/>
          <w:lang w:val="en-US"/>
        </w:rPr>
        <w:t>5</w:t>
      </w:r>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Other Existing</w:t>
      </w:r>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PCR</w:t>
      </w:r>
      <w:bookmarkEnd w:id="52"/>
      <w:bookmarkEnd w:id="53"/>
    </w:p>
    <w:p w14:paraId="3708C9E2" w14:textId="77777777" w:rsidR="00064644" w:rsidRPr="009A1CE3" w:rsidRDefault="00064644" w:rsidP="00064644">
      <w:pPr>
        <w:jc w:val="both"/>
        <w:rPr>
          <w:rFonts w:ascii="Titillium Web" w:hAnsi="Titillium Web"/>
          <w:sz w:val="18"/>
          <w:szCs w:val="28"/>
          <w:lang w:val="en-US"/>
        </w:rPr>
      </w:pPr>
      <w:r>
        <w:rPr>
          <w:rFonts w:ascii="Titillium Web" w:hAnsi="Titillium Web"/>
          <w:sz w:val="18"/>
          <w:szCs w:val="28"/>
          <w:lang w:val="en-US"/>
        </w:rPr>
        <w:t>A</w:t>
      </w:r>
      <w:r w:rsidRPr="009A1CE3">
        <w:rPr>
          <w:rFonts w:ascii="Titillium Web" w:hAnsi="Titillium Web"/>
          <w:sz w:val="18"/>
          <w:szCs w:val="28"/>
          <w:lang w:val="en-US"/>
        </w:rPr>
        <w:t xml:space="preserve">s part of the development of this PCR, existing PCRs were considered </w:t>
      </w:r>
      <w:proofErr w:type="gramStart"/>
      <w:r w:rsidRPr="009A1CE3">
        <w:rPr>
          <w:rFonts w:ascii="Titillium Web" w:hAnsi="Titillium Web"/>
          <w:sz w:val="18"/>
          <w:szCs w:val="28"/>
          <w:lang w:val="en-US"/>
        </w:rPr>
        <w:t>in order to</w:t>
      </w:r>
      <w:proofErr w:type="gramEnd"/>
      <w:r w:rsidRPr="009A1CE3">
        <w:rPr>
          <w:rFonts w:ascii="Titillium Web" w:hAnsi="Titillium Web"/>
          <w:sz w:val="18"/>
          <w:szCs w:val="28"/>
          <w:lang w:val="en-US"/>
        </w:rPr>
        <w:t xml:space="preserve"> avoid overlaps in scope. The existence of such documents was checked in the public </w:t>
      </w:r>
      <w:r w:rsidRPr="005609BE">
        <w:rPr>
          <w:rFonts w:ascii="Titillium Web" w:hAnsi="Titillium Web"/>
          <w:sz w:val="18"/>
          <w:szCs w:val="28"/>
          <w:highlight w:val="yellow"/>
          <w:lang w:val="en-US"/>
        </w:rPr>
        <w:t xml:space="preserve">PCR listings of the following </w:t>
      </w:r>
      <w:proofErr w:type="spellStart"/>
      <w:r w:rsidRPr="005609BE">
        <w:rPr>
          <w:rFonts w:ascii="Titillium Web" w:hAnsi="Titillium Web"/>
          <w:sz w:val="18"/>
          <w:szCs w:val="28"/>
          <w:highlight w:val="yellow"/>
          <w:lang w:val="en-US"/>
        </w:rPr>
        <w:t>programmes</w:t>
      </w:r>
      <w:proofErr w:type="spellEnd"/>
      <w:r w:rsidRPr="005609BE">
        <w:rPr>
          <w:rFonts w:ascii="Titillium Web" w:hAnsi="Titillium Web"/>
          <w:sz w:val="18"/>
          <w:szCs w:val="28"/>
          <w:highlight w:val="yellow"/>
          <w:lang w:val="en-US"/>
        </w:rPr>
        <w:t xml:space="preserve"> based on ISO 14025 or similar:</w:t>
      </w:r>
    </w:p>
    <w:p w14:paraId="6735A87C" w14:textId="77777777" w:rsidR="00064644" w:rsidRPr="005609BE" w:rsidRDefault="00064644" w:rsidP="00064644">
      <w:pPr>
        <w:pStyle w:val="ListaPunkter"/>
        <w:jc w:val="both"/>
        <w:rPr>
          <w:rFonts w:ascii="Titillium Web" w:hAnsi="Titillium Web"/>
          <w:sz w:val="18"/>
          <w:szCs w:val="28"/>
          <w:highlight w:val="yellow"/>
          <w:lang w:val="en-US"/>
        </w:rPr>
      </w:pPr>
      <w:r w:rsidRPr="005609BE">
        <w:rPr>
          <w:rFonts w:ascii="Titillium Web" w:hAnsi="Titillium Web"/>
          <w:sz w:val="18"/>
          <w:szCs w:val="28"/>
          <w:highlight w:val="yellow"/>
          <w:lang w:val="en-US"/>
        </w:rPr>
        <w:t>XXX</w:t>
      </w:r>
    </w:p>
    <w:p w14:paraId="108D7E88" w14:textId="77777777" w:rsidR="00064644" w:rsidRPr="00886C08" w:rsidRDefault="00064644" w:rsidP="00064644">
      <w:pPr>
        <w:pStyle w:val="ListaPunkter"/>
        <w:numPr>
          <w:ilvl w:val="0"/>
          <w:numId w:val="0"/>
        </w:numPr>
        <w:jc w:val="both"/>
        <w:rPr>
          <w:rFonts w:ascii="Titillium Web" w:hAnsi="Titillium Web"/>
          <w:sz w:val="18"/>
          <w:szCs w:val="28"/>
          <w:lang w:val="en-US"/>
        </w:rPr>
      </w:pPr>
    </w:p>
    <w:p w14:paraId="1F3BE6F3" w14:textId="77777777" w:rsidR="00064644" w:rsidRPr="00886C08" w:rsidRDefault="00064644" w:rsidP="00064644">
      <w:pPr>
        <w:pStyle w:val="ListaPunkter"/>
        <w:numPr>
          <w:ilvl w:val="0"/>
          <w:numId w:val="0"/>
        </w:numPr>
        <w:jc w:val="both"/>
        <w:rPr>
          <w:rFonts w:ascii="Titillium Web" w:hAnsi="Titillium Web"/>
          <w:sz w:val="18"/>
          <w:szCs w:val="28"/>
          <w:lang w:val="en-US"/>
        </w:rPr>
      </w:pPr>
      <w:r w:rsidRPr="00886C08">
        <w:rPr>
          <w:rFonts w:ascii="Titillium Web" w:hAnsi="Titillium Web"/>
          <w:sz w:val="18"/>
          <w:szCs w:val="28"/>
          <w:lang w:val="en-US"/>
        </w:rPr>
        <w:t>The following existing PCRs were identified:</w:t>
      </w:r>
    </w:p>
    <w:p w14:paraId="5817ACF3" w14:textId="77777777" w:rsidR="00064644" w:rsidRPr="00886C08" w:rsidRDefault="00064644" w:rsidP="00064644">
      <w:pPr>
        <w:pStyle w:val="ListaPunkter"/>
        <w:numPr>
          <w:ilvl w:val="0"/>
          <w:numId w:val="0"/>
        </w:numPr>
        <w:jc w:val="both"/>
        <w:rPr>
          <w:rFonts w:ascii="Titillium Web" w:hAnsi="Titillium Web"/>
          <w:sz w:val="18"/>
          <w:szCs w:val="28"/>
          <w:lang w:val="en-US"/>
        </w:rPr>
      </w:pPr>
    </w:p>
    <w:tbl>
      <w:tblPr>
        <w:tblStyle w:val="Grigliatabella"/>
        <w:tblW w:w="9776" w:type="dxa"/>
        <w:tblLook w:val="04A0" w:firstRow="1" w:lastRow="0" w:firstColumn="1" w:lastColumn="0" w:noHBand="0" w:noVBand="1"/>
      </w:tblPr>
      <w:tblGrid>
        <w:gridCol w:w="1481"/>
        <w:gridCol w:w="1505"/>
        <w:gridCol w:w="1680"/>
        <w:gridCol w:w="1792"/>
        <w:gridCol w:w="3318"/>
      </w:tblGrid>
      <w:tr w:rsidR="00064644" w:rsidRPr="00BC2DC0" w14:paraId="3A40A0B7" w14:textId="77777777" w:rsidTr="00527C37">
        <w:tc>
          <w:tcPr>
            <w:tcW w:w="1510" w:type="dxa"/>
            <w:shd w:val="clear" w:color="auto" w:fill="7DE2E9"/>
          </w:tcPr>
          <w:p w14:paraId="1F52DAB8"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PCR NAME</w:t>
            </w:r>
          </w:p>
        </w:tc>
        <w:tc>
          <w:tcPr>
            <w:tcW w:w="1320" w:type="dxa"/>
            <w:shd w:val="clear" w:color="auto" w:fill="7DE2E9"/>
          </w:tcPr>
          <w:p w14:paraId="489D82A9"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PROGRAMME</w:t>
            </w:r>
          </w:p>
        </w:tc>
        <w:tc>
          <w:tcPr>
            <w:tcW w:w="1685" w:type="dxa"/>
            <w:shd w:val="clear" w:color="auto" w:fill="7DE2E9"/>
          </w:tcPr>
          <w:p w14:paraId="5DAA619D"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REGISTRATION NUMBER</w:t>
            </w:r>
          </w:p>
        </w:tc>
        <w:tc>
          <w:tcPr>
            <w:tcW w:w="1835" w:type="dxa"/>
            <w:shd w:val="clear" w:color="auto" w:fill="7DE2E9"/>
          </w:tcPr>
          <w:p w14:paraId="6C6FA42A"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SCOPE</w:t>
            </w:r>
          </w:p>
        </w:tc>
        <w:tc>
          <w:tcPr>
            <w:tcW w:w="3426" w:type="dxa"/>
            <w:shd w:val="clear" w:color="auto" w:fill="7DE2E9"/>
          </w:tcPr>
          <w:p w14:paraId="11F9E130"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Motivation for exclusion</w:t>
            </w:r>
          </w:p>
        </w:tc>
      </w:tr>
      <w:tr w:rsidR="00064644" w:rsidRPr="00DB6837" w14:paraId="44F6F5A0" w14:textId="77777777" w:rsidTr="00527C37">
        <w:tc>
          <w:tcPr>
            <w:tcW w:w="1510" w:type="dxa"/>
          </w:tcPr>
          <w:p w14:paraId="5C6261BF"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1320" w:type="dxa"/>
          </w:tcPr>
          <w:p w14:paraId="454CD15A"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1685" w:type="dxa"/>
          </w:tcPr>
          <w:p w14:paraId="2F0831ED" w14:textId="77777777" w:rsidR="00064644" w:rsidRPr="001807C3" w:rsidRDefault="00064644" w:rsidP="00527C37">
            <w:pPr>
              <w:pStyle w:val="Default"/>
              <w:rPr>
                <w:rFonts w:ascii="Titillium Web" w:hAnsi="Titillium Web"/>
                <w:sz w:val="16"/>
                <w:szCs w:val="16"/>
                <w:lang w:val="en-US"/>
              </w:rPr>
            </w:pPr>
            <w:r w:rsidRPr="005609BE">
              <w:rPr>
                <w:rFonts w:ascii="Titillium Web" w:hAnsi="Titillium Web"/>
                <w:sz w:val="16"/>
                <w:szCs w:val="16"/>
                <w:highlight w:val="yellow"/>
                <w:lang w:val="en-US"/>
              </w:rPr>
              <w:t>XXX</w:t>
            </w:r>
            <w:r w:rsidRPr="001807C3">
              <w:rPr>
                <w:rFonts w:ascii="Titillium Web" w:hAnsi="Titillium Web"/>
                <w:sz w:val="16"/>
                <w:szCs w:val="16"/>
                <w:lang w:val="en-US"/>
              </w:rPr>
              <w:t xml:space="preserve"> </w:t>
            </w:r>
          </w:p>
        </w:tc>
        <w:tc>
          <w:tcPr>
            <w:tcW w:w="1835" w:type="dxa"/>
          </w:tcPr>
          <w:p w14:paraId="68702ED5"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3426" w:type="dxa"/>
          </w:tcPr>
          <w:p w14:paraId="32C18423"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r>
    </w:tbl>
    <w:p w14:paraId="5139DCD5" w14:textId="77777777" w:rsidR="00064644" w:rsidRPr="00886C08" w:rsidRDefault="00064644" w:rsidP="00064644">
      <w:pPr>
        <w:jc w:val="both"/>
        <w:rPr>
          <w:rFonts w:ascii="Titillium Web" w:hAnsi="Titillium Web"/>
          <w:sz w:val="18"/>
          <w:szCs w:val="28"/>
          <w:lang w:val="en-US"/>
        </w:rPr>
      </w:pPr>
    </w:p>
    <w:p w14:paraId="33D9ABD3" w14:textId="77777777" w:rsidR="00064644" w:rsidRPr="00886C08" w:rsidRDefault="00064644" w:rsidP="00064644">
      <w:pPr>
        <w:ind w:left="221"/>
        <w:rPr>
          <w:rFonts w:ascii="Titillium Web" w:hAnsi="Titillium Web"/>
          <w:caps/>
          <w:sz w:val="30"/>
          <w:lang w:val="en-US"/>
        </w:rPr>
      </w:pPr>
      <w:r w:rsidRPr="00886C08">
        <w:rPr>
          <w:rFonts w:ascii="Titillium Web" w:hAnsi="Titillium Web"/>
          <w:lang w:val="en-US"/>
        </w:rPr>
        <w:br w:type="page"/>
      </w:r>
    </w:p>
    <w:p w14:paraId="40A18C54" w14:textId="77777777" w:rsidR="00064644" w:rsidRPr="00886C08" w:rsidRDefault="00064644" w:rsidP="00064644">
      <w:pPr>
        <w:pStyle w:val="Titolo2"/>
        <w:rPr>
          <w:rFonts w:ascii="Titillium Web" w:hAnsi="Titillium Web"/>
          <w:b/>
          <w:bCs w:val="0"/>
          <w:color w:val="0070C0"/>
          <w:lang w:val="en-US"/>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85" w:type="dxa"/>
          <w:left w:w="0" w:type="dxa"/>
          <w:bottom w:w="85" w:type="dxa"/>
          <w:right w:w="0" w:type="dxa"/>
        </w:tblCellMar>
        <w:tblLook w:val="01E0" w:firstRow="1" w:lastRow="1" w:firstColumn="1" w:lastColumn="1" w:noHBand="0" w:noVBand="0"/>
      </w:tblPr>
      <w:tblGrid>
        <w:gridCol w:w="2742"/>
        <w:gridCol w:w="6886"/>
      </w:tblGrid>
      <w:tr w:rsidR="00064644" w:rsidRPr="00113184" w14:paraId="40135C89" w14:textId="77777777" w:rsidTr="00527C37">
        <w:tc>
          <w:tcPr>
            <w:tcW w:w="1424" w:type="pct"/>
          </w:tcPr>
          <w:p w14:paraId="109141B8" w14:textId="77777777" w:rsidR="00064644" w:rsidRPr="00BC2DC0" w:rsidRDefault="00064644" w:rsidP="00527C37">
            <w:pPr>
              <w:pStyle w:val="Tabelltext"/>
              <w:jc w:val="left"/>
              <w:rPr>
                <w:rFonts w:ascii="Titillium Web" w:hAnsi="Titillium Web"/>
                <w:sz w:val="18"/>
                <w:szCs w:val="28"/>
              </w:rPr>
            </w:pPr>
            <w:proofErr w:type="spellStart"/>
            <w:r w:rsidRPr="00BC2DC0">
              <w:rPr>
                <w:rFonts w:ascii="Titillium Web" w:hAnsi="Titillium Web"/>
                <w:sz w:val="18"/>
                <w:szCs w:val="28"/>
              </w:rPr>
              <w:t>Programme</w:t>
            </w:r>
            <w:proofErr w:type="spellEnd"/>
            <w:r w:rsidRPr="00BC2DC0">
              <w:rPr>
                <w:rFonts w:ascii="Titillium Web" w:hAnsi="Titillium Web"/>
                <w:sz w:val="18"/>
                <w:szCs w:val="28"/>
              </w:rPr>
              <w:t xml:space="preserve"> operator:</w:t>
            </w:r>
          </w:p>
        </w:tc>
        <w:tc>
          <w:tcPr>
            <w:tcW w:w="3576" w:type="pct"/>
          </w:tcPr>
          <w:p w14:paraId="2F92E319" w14:textId="77777777" w:rsidR="00064644" w:rsidRPr="009A1CE3" w:rsidRDefault="00064644" w:rsidP="00527C37">
            <w:pPr>
              <w:pStyle w:val="Tabelltext"/>
              <w:jc w:val="left"/>
              <w:rPr>
                <w:rFonts w:ascii="Titillium Web" w:hAnsi="Titillium Web"/>
                <w:b/>
                <w:bCs/>
                <w:iCs/>
                <w:color w:val="000000" w:themeColor="text1"/>
                <w:sz w:val="18"/>
                <w:szCs w:val="28"/>
              </w:rPr>
            </w:pPr>
            <w:r w:rsidRPr="009A1CE3">
              <w:rPr>
                <w:rFonts w:ascii="Titillium Web" w:hAnsi="Titillium Web"/>
                <w:b/>
                <w:bCs/>
                <w:iCs/>
                <w:color w:val="000000" w:themeColor="text1"/>
                <w:sz w:val="18"/>
                <w:szCs w:val="28"/>
              </w:rPr>
              <w:t xml:space="preserve">Carbon </w:t>
            </w:r>
            <w:proofErr w:type="spellStart"/>
            <w:r w:rsidRPr="009A1CE3">
              <w:rPr>
                <w:rFonts w:ascii="Titillium Web" w:hAnsi="Titillium Web"/>
                <w:b/>
                <w:bCs/>
                <w:iCs/>
                <w:color w:val="000000" w:themeColor="text1"/>
                <w:sz w:val="18"/>
                <w:szCs w:val="28"/>
              </w:rPr>
              <w:t>Footprint</w:t>
            </w:r>
            <w:proofErr w:type="spellEnd"/>
            <w:r w:rsidRPr="009A1CE3">
              <w:rPr>
                <w:rFonts w:ascii="Titillium Web" w:hAnsi="Titillium Web"/>
                <w:b/>
                <w:bCs/>
                <w:iCs/>
                <w:color w:val="000000" w:themeColor="text1"/>
                <w:sz w:val="18"/>
                <w:szCs w:val="28"/>
              </w:rPr>
              <w:t xml:space="preserve"> </w:t>
            </w:r>
            <w:proofErr w:type="spellStart"/>
            <w:r w:rsidRPr="009A1CE3">
              <w:rPr>
                <w:rFonts w:ascii="Titillium Web" w:hAnsi="Titillium Web"/>
                <w:b/>
                <w:bCs/>
                <w:iCs/>
                <w:color w:val="000000" w:themeColor="text1"/>
                <w:sz w:val="18"/>
                <w:szCs w:val="28"/>
              </w:rPr>
              <w:t>Italy</w:t>
            </w:r>
            <w:proofErr w:type="spellEnd"/>
            <w:r w:rsidRPr="009A1CE3">
              <w:rPr>
                <w:rFonts w:ascii="Titillium Web" w:hAnsi="Titillium Web"/>
                <w:b/>
                <w:bCs/>
                <w:iCs/>
                <w:color w:val="000000" w:themeColor="text1"/>
                <w:sz w:val="18"/>
                <w:szCs w:val="28"/>
              </w:rPr>
              <w:t xml:space="preserve"> </w:t>
            </w:r>
          </w:p>
          <w:p w14:paraId="311EF2DA" w14:textId="77777777" w:rsidR="00064644" w:rsidRPr="00095333" w:rsidRDefault="00064644" w:rsidP="00527C37">
            <w:pPr>
              <w:pStyle w:val="Tabelltext"/>
              <w:jc w:val="left"/>
              <w:rPr>
                <w:rFonts w:ascii="Titillium Web" w:hAnsi="Titillium Web"/>
                <w:sz w:val="16"/>
                <w:szCs w:val="16"/>
              </w:rPr>
            </w:pPr>
            <w:proofErr w:type="gramStart"/>
            <w:r w:rsidRPr="00095333">
              <w:rPr>
                <w:rFonts w:ascii="Titillium Web" w:hAnsi="Titillium Web"/>
                <w:iCs/>
                <w:color w:val="000000" w:themeColor="text1"/>
                <w:sz w:val="16"/>
                <w:szCs w:val="16"/>
              </w:rPr>
              <w:t>P.le</w:t>
            </w:r>
            <w:proofErr w:type="gramEnd"/>
            <w:r w:rsidRPr="00095333">
              <w:rPr>
                <w:rFonts w:ascii="Titillium Web" w:hAnsi="Titillium Web"/>
                <w:iCs/>
                <w:color w:val="000000" w:themeColor="text1"/>
                <w:sz w:val="16"/>
                <w:szCs w:val="16"/>
              </w:rPr>
              <w:t xml:space="preserve"> Martiri delle Foibe 5, 30175 Venezia Marghera, Venezia, </w:t>
            </w:r>
            <w:proofErr w:type="spellStart"/>
            <w:r w:rsidRPr="00095333">
              <w:rPr>
                <w:rFonts w:ascii="Titillium Web" w:hAnsi="Titillium Web"/>
                <w:iCs/>
                <w:color w:val="000000" w:themeColor="text1"/>
                <w:sz w:val="16"/>
                <w:szCs w:val="16"/>
              </w:rPr>
              <w:t>Italy</w:t>
            </w:r>
            <w:proofErr w:type="spellEnd"/>
          </w:p>
          <w:p w14:paraId="0B575497" w14:textId="77777777" w:rsidR="00064644" w:rsidRPr="00095333" w:rsidRDefault="00064644" w:rsidP="00527C37">
            <w:pPr>
              <w:pStyle w:val="Tabelltext"/>
              <w:jc w:val="left"/>
              <w:rPr>
                <w:rFonts w:ascii="Titillium Web" w:hAnsi="Titillium Web"/>
                <w:sz w:val="16"/>
                <w:szCs w:val="16"/>
                <w:lang w:val="en-US"/>
              </w:rPr>
            </w:pPr>
            <w:r w:rsidRPr="00095333">
              <w:rPr>
                <w:rFonts w:ascii="Titillium Web" w:hAnsi="Titillium Web"/>
                <w:sz w:val="16"/>
                <w:szCs w:val="16"/>
                <w:lang w:val="en-US"/>
              </w:rPr>
              <w:t xml:space="preserve">Website: </w:t>
            </w:r>
            <w:r w:rsidR="001723AA">
              <w:fldChar w:fldCharType="begin"/>
            </w:r>
            <w:r w:rsidR="001723AA" w:rsidRPr="00E427A0">
              <w:rPr>
                <w:lang w:val="en-US"/>
              </w:rPr>
              <w:instrText xml:space="preserve"> HYPERLINK "https://carbonfootprintitaly.it/en/" </w:instrText>
            </w:r>
            <w:r w:rsidR="001723AA">
              <w:fldChar w:fldCharType="separate"/>
            </w:r>
            <w:r w:rsidRPr="00095333">
              <w:rPr>
                <w:rStyle w:val="Collegamentoipertestuale"/>
                <w:rFonts w:ascii="Titillium Web" w:hAnsi="Titillium Web"/>
                <w:sz w:val="16"/>
                <w:szCs w:val="16"/>
                <w:lang w:val="en-US"/>
              </w:rPr>
              <w:t>www.carbonfootprintitaly.it</w:t>
            </w:r>
            <w:r w:rsidR="001723AA">
              <w:rPr>
                <w:rStyle w:val="Collegamentoipertestuale"/>
                <w:rFonts w:ascii="Titillium Web" w:hAnsi="Titillium Web"/>
                <w:sz w:val="16"/>
                <w:szCs w:val="16"/>
                <w:lang w:val="en-US"/>
              </w:rPr>
              <w:fldChar w:fldCharType="end"/>
            </w:r>
            <w:r w:rsidRPr="00095333">
              <w:rPr>
                <w:rStyle w:val="Collegamentoipertestuale"/>
                <w:rFonts w:ascii="Titillium Web" w:hAnsi="Titillium Web"/>
                <w:sz w:val="16"/>
                <w:szCs w:val="16"/>
                <w:lang w:val="en-US"/>
              </w:rPr>
              <w:t>/en/</w:t>
            </w:r>
          </w:p>
          <w:p w14:paraId="3054CB98" w14:textId="77777777" w:rsidR="00064644" w:rsidRPr="00CF00AC" w:rsidRDefault="00064644" w:rsidP="00527C37">
            <w:pPr>
              <w:pStyle w:val="Tabelltext"/>
              <w:jc w:val="left"/>
              <w:rPr>
                <w:rFonts w:ascii="Titillium Web" w:hAnsi="Titillium Web"/>
                <w:sz w:val="18"/>
                <w:szCs w:val="28"/>
              </w:rPr>
            </w:pPr>
            <w:r w:rsidRPr="00095333">
              <w:rPr>
                <w:rFonts w:ascii="Titillium Web" w:hAnsi="Titillium Web"/>
                <w:sz w:val="16"/>
                <w:szCs w:val="16"/>
              </w:rPr>
              <w:t xml:space="preserve">E-mail: </w:t>
            </w:r>
            <w:hyperlink r:id="rId10" w:history="1">
              <w:r w:rsidRPr="00095333">
                <w:rPr>
                  <w:rStyle w:val="Collegamentoipertestuale"/>
                  <w:rFonts w:ascii="Titillium Web" w:hAnsi="Titillium Web"/>
                  <w:sz w:val="16"/>
                  <w:szCs w:val="16"/>
                </w:rPr>
                <w:t>info@carbonfootprintitaly</w:t>
              </w:r>
            </w:hyperlink>
            <w:r w:rsidRPr="00095333">
              <w:rPr>
                <w:rStyle w:val="Collegamentoipertestuale"/>
                <w:rFonts w:ascii="Titillium Web" w:hAnsi="Titillium Web"/>
                <w:sz w:val="16"/>
                <w:szCs w:val="16"/>
              </w:rPr>
              <w:t>.it</w:t>
            </w:r>
          </w:p>
        </w:tc>
      </w:tr>
      <w:tr w:rsidR="00064644" w:rsidRPr="00DB6837" w14:paraId="7EF41A5C" w14:textId="77777777" w:rsidTr="00527C37">
        <w:tc>
          <w:tcPr>
            <w:tcW w:w="1424" w:type="pct"/>
          </w:tcPr>
          <w:p w14:paraId="41D1D733"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Product </w:t>
            </w:r>
            <w:proofErr w:type="spellStart"/>
            <w:r>
              <w:rPr>
                <w:rFonts w:ascii="Titillium Web" w:hAnsi="Titillium Web"/>
                <w:sz w:val="18"/>
                <w:szCs w:val="28"/>
              </w:rPr>
              <w:t>category</w:t>
            </w:r>
            <w:proofErr w:type="spellEnd"/>
            <w:r w:rsidRPr="00BC2DC0">
              <w:rPr>
                <w:rFonts w:ascii="Titillium Web" w:hAnsi="Titillium Web"/>
                <w:sz w:val="18"/>
                <w:szCs w:val="28"/>
              </w:rPr>
              <w:t>:</w:t>
            </w:r>
          </w:p>
        </w:tc>
        <w:tc>
          <w:tcPr>
            <w:tcW w:w="3576" w:type="pct"/>
          </w:tcPr>
          <w:p w14:paraId="2A399ACB" w14:textId="77777777" w:rsidR="00064644" w:rsidRPr="003A55AB" w:rsidRDefault="00064644" w:rsidP="00527C37">
            <w:pPr>
              <w:pStyle w:val="Tabelltext"/>
              <w:jc w:val="left"/>
              <w:rPr>
                <w:rFonts w:ascii="Titillium Web" w:hAnsi="Titillium Web"/>
                <w:iCs/>
                <w:color w:val="FF0000"/>
                <w:sz w:val="18"/>
                <w:szCs w:val="28"/>
                <w:lang w:val="en-US"/>
              </w:rPr>
            </w:pPr>
            <w:r w:rsidRPr="005609BE">
              <w:rPr>
                <w:rFonts w:ascii="Titillium Web" w:hAnsi="Titillium Web"/>
                <w:iCs/>
                <w:color w:val="000000" w:themeColor="text1"/>
                <w:sz w:val="18"/>
                <w:szCs w:val="28"/>
                <w:highlight w:val="yellow"/>
                <w:lang w:val="en-US"/>
              </w:rPr>
              <w:t>Title of PCR</w:t>
            </w:r>
          </w:p>
        </w:tc>
      </w:tr>
      <w:tr w:rsidR="00064644" w:rsidRPr="00BC2DC0" w14:paraId="6EBF5286" w14:textId="77777777" w:rsidTr="00527C37">
        <w:tc>
          <w:tcPr>
            <w:tcW w:w="1424" w:type="pct"/>
          </w:tcPr>
          <w:p w14:paraId="75A43999" w14:textId="77777777" w:rsidR="00064644" w:rsidRPr="00BC2DC0" w:rsidRDefault="00064644" w:rsidP="00527C37">
            <w:pPr>
              <w:pStyle w:val="Tabelltext"/>
              <w:jc w:val="left"/>
              <w:rPr>
                <w:rFonts w:ascii="Titillium Web" w:hAnsi="Titillium Web"/>
                <w:sz w:val="18"/>
                <w:szCs w:val="28"/>
              </w:rPr>
            </w:pPr>
            <w:proofErr w:type="spellStart"/>
            <w:r w:rsidRPr="006A0AD2">
              <w:rPr>
                <w:rFonts w:ascii="Titillium Web" w:hAnsi="Titillium Web"/>
                <w:sz w:val="18"/>
                <w:szCs w:val="28"/>
              </w:rPr>
              <w:t>Registration</w:t>
            </w:r>
            <w:proofErr w:type="spellEnd"/>
            <w:r w:rsidRPr="006A0AD2">
              <w:rPr>
                <w:rFonts w:ascii="Titillium Web" w:hAnsi="Titillium Web"/>
                <w:sz w:val="18"/>
                <w:szCs w:val="28"/>
              </w:rPr>
              <w:t xml:space="preserve"> </w:t>
            </w:r>
            <w:proofErr w:type="spellStart"/>
            <w:r w:rsidRPr="006A0AD2">
              <w:rPr>
                <w:rFonts w:ascii="Titillium Web" w:hAnsi="Titillium Web"/>
                <w:sz w:val="18"/>
                <w:szCs w:val="28"/>
              </w:rPr>
              <w:t>number</w:t>
            </w:r>
            <w:proofErr w:type="spellEnd"/>
            <w:r w:rsidRPr="006A0AD2">
              <w:rPr>
                <w:rFonts w:ascii="Titillium Web" w:hAnsi="Titillium Web"/>
                <w:sz w:val="18"/>
                <w:szCs w:val="28"/>
              </w:rPr>
              <w:t xml:space="preserve"> and </w:t>
            </w:r>
            <w:proofErr w:type="spellStart"/>
            <w:r w:rsidRPr="006A0AD2">
              <w:rPr>
                <w:rFonts w:ascii="Titillium Web" w:hAnsi="Titillium Web"/>
                <w:sz w:val="18"/>
                <w:szCs w:val="28"/>
              </w:rPr>
              <w:t>version</w:t>
            </w:r>
            <w:proofErr w:type="spellEnd"/>
            <w:r w:rsidRPr="006A0AD2">
              <w:rPr>
                <w:rFonts w:ascii="Titillium Web" w:hAnsi="Titillium Web"/>
                <w:sz w:val="18"/>
                <w:szCs w:val="28"/>
              </w:rPr>
              <w:t>:</w:t>
            </w:r>
          </w:p>
        </w:tc>
        <w:tc>
          <w:tcPr>
            <w:tcW w:w="3576" w:type="pct"/>
          </w:tcPr>
          <w:p w14:paraId="38429E4A"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
                <w:sz w:val="18"/>
                <w:szCs w:val="28"/>
                <w:highlight w:val="yellow"/>
              </w:rPr>
              <w:t>202X-XXXX</w:t>
            </w:r>
            <w:r w:rsidRPr="006A0AD2">
              <w:rPr>
                <w:rFonts w:ascii="Titillium Web" w:hAnsi="Titillium Web"/>
                <w:i/>
                <w:sz w:val="18"/>
                <w:szCs w:val="28"/>
              </w:rPr>
              <w:t xml:space="preserve">, </w:t>
            </w:r>
            <w:proofErr w:type="spellStart"/>
            <w:r w:rsidRPr="006A0AD2">
              <w:rPr>
                <w:rFonts w:ascii="Titillium Web" w:hAnsi="Titillium Web"/>
                <w:i/>
                <w:sz w:val="18"/>
                <w:szCs w:val="28"/>
              </w:rPr>
              <w:t>version</w:t>
            </w:r>
            <w:proofErr w:type="spellEnd"/>
            <w:r w:rsidRPr="006A0AD2">
              <w:rPr>
                <w:rFonts w:ascii="Titillium Web" w:hAnsi="Titillium Web"/>
                <w:i/>
                <w:sz w:val="18"/>
                <w:szCs w:val="28"/>
              </w:rPr>
              <w:t xml:space="preserve"> 1.0 </w:t>
            </w:r>
          </w:p>
        </w:tc>
      </w:tr>
      <w:tr w:rsidR="00064644" w:rsidRPr="00BC2DC0" w14:paraId="6979A999" w14:textId="77777777" w:rsidTr="00527C37">
        <w:tc>
          <w:tcPr>
            <w:tcW w:w="1424" w:type="pct"/>
          </w:tcPr>
          <w:p w14:paraId="3CCDD01F"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CPC </w:t>
            </w:r>
            <w:proofErr w:type="spellStart"/>
            <w:r>
              <w:rPr>
                <w:rFonts w:ascii="Titillium Web" w:hAnsi="Titillium Web"/>
                <w:sz w:val="18"/>
                <w:szCs w:val="28"/>
              </w:rPr>
              <w:t>classification</w:t>
            </w:r>
            <w:proofErr w:type="spellEnd"/>
            <w:r>
              <w:rPr>
                <w:rFonts w:ascii="Titillium Web" w:hAnsi="Titillium Web"/>
                <w:sz w:val="18"/>
                <w:szCs w:val="28"/>
              </w:rPr>
              <w:t xml:space="preserve"> code:</w:t>
            </w:r>
          </w:p>
        </w:tc>
        <w:tc>
          <w:tcPr>
            <w:tcW w:w="3576" w:type="pct"/>
          </w:tcPr>
          <w:p w14:paraId="3EB60F67"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Cs/>
                <w:color w:val="000000" w:themeColor="text1"/>
                <w:sz w:val="18"/>
                <w:szCs w:val="28"/>
                <w:highlight w:val="yellow"/>
              </w:rPr>
              <w:t>XXXX</w:t>
            </w:r>
          </w:p>
        </w:tc>
      </w:tr>
      <w:tr w:rsidR="00064644" w:rsidRPr="00BC2DC0" w14:paraId="0DCD7667" w14:textId="77777777" w:rsidTr="00527C37">
        <w:tc>
          <w:tcPr>
            <w:tcW w:w="1424" w:type="pct"/>
          </w:tcPr>
          <w:p w14:paraId="7B6C41D9" w14:textId="77777777" w:rsidR="00064644" w:rsidRPr="00BC2DC0" w:rsidRDefault="00064644" w:rsidP="00527C37">
            <w:pPr>
              <w:pStyle w:val="Tabelltext"/>
              <w:jc w:val="left"/>
              <w:rPr>
                <w:rFonts w:ascii="Titillium Web" w:hAnsi="Titillium Web"/>
                <w:sz w:val="18"/>
                <w:szCs w:val="28"/>
              </w:rPr>
            </w:pPr>
            <w:proofErr w:type="spellStart"/>
            <w:r>
              <w:rPr>
                <w:rFonts w:ascii="Titillium Web" w:hAnsi="Titillium Web"/>
                <w:sz w:val="18"/>
                <w:szCs w:val="28"/>
              </w:rPr>
              <w:t>Geographical</w:t>
            </w:r>
            <w:proofErr w:type="spellEnd"/>
            <w:r>
              <w:rPr>
                <w:rFonts w:ascii="Titillium Web" w:hAnsi="Titillium Web"/>
                <w:sz w:val="18"/>
                <w:szCs w:val="28"/>
              </w:rPr>
              <w:t xml:space="preserve"> scope:</w:t>
            </w:r>
          </w:p>
        </w:tc>
        <w:tc>
          <w:tcPr>
            <w:tcW w:w="3576" w:type="pct"/>
          </w:tcPr>
          <w:p w14:paraId="032717EC"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Cs/>
                <w:color w:val="000000" w:themeColor="text1"/>
                <w:sz w:val="18"/>
                <w:szCs w:val="28"/>
                <w:highlight w:val="yellow"/>
              </w:rPr>
              <w:t>Global</w:t>
            </w:r>
          </w:p>
        </w:tc>
      </w:tr>
      <w:tr w:rsidR="00064644" w:rsidRPr="00E427A0" w14:paraId="14399C88" w14:textId="77777777" w:rsidTr="00527C37">
        <w:tc>
          <w:tcPr>
            <w:tcW w:w="1424" w:type="pct"/>
          </w:tcPr>
          <w:p w14:paraId="1E4413B5" w14:textId="77777777" w:rsidR="00064644" w:rsidRPr="00BC2DC0" w:rsidRDefault="00064644" w:rsidP="00527C37">
            <w:pPr>
              <w:pStyle w:val="Tabelltext"/>
              <w:jc w:val="left"/>
              <w:rPr>
                <w:rFonts w:ascii="Titillium Web" w:hAnsi="Titillium Web"/>
                <w:sz w:val="18"/>
                <w:szCs w:val="28"/>
              </w:rPr>
            </w:pPr>
            <w:r w:rsidRPr="00BC2DC0">
              <w:rPr>
                <w:rFonts w:ascii="Titillium Web" w:hAnsi="Titillium Web"/>
                <w:sz w:val="18"/>
                <w:szCs w:val="28"/>
              </w:rPr>
              <w:t>PCR moderator:</w:t>
            </w:r>
          </w:p>
        </w:tc>
        <w:tc>
          <w:tcPr>
            <w:tcW w:w="3576" w:type="pct"/>
          </w:tcPr>
          <w:p w14:paraId="34B4B968" w14:textId="77777777" w:rsidR="00064644" w:rsidRPr="005609BE" w:rsidRDefault="00064644" w:rsidP="00527C37">
            <w:pPr>
              <w:pStyle w:val="Tabelltext"/>
              <w:jc w:val="left"/>
              <w:rPr>
                <w:rFonts w:ascii="Titillium Web" w:hAnsi="Titillium Web"/>
                <w:i/>
                <w:color w:val="FF0000"/>
                <w:sz w:val="18"/>
                <w:szCs w:val="28"/>
                <w:lang w:val="en-US"/>
              </w:rPr>
            </w:pPr>
            <w:r w:rsidRPr="005609BE">
              <w:rPr>
                <w:rFonts w:ascii="Titillium Web" w:hAnsi="Titillium Web"/>
                <w:i/>
                <w:color w:val="000000" w:themeColor="text1"/>
                <w:sz w:val="18"/>
                <w:szCs w:val="28"/>
                <w:highlight w:val="yellow"/>
                <w:lang w:val="en-US"/>
              </w:rPr>
              <w:t>Name Surname, Company, e-mail address</w:t>
            </w:r>
          </w:p>
        </w:tc>
      </w:tr>
      <w:tr w:rsidR="00064644" w:rsidRPr="00113184" w14:paraId="02C4D4D0" w14:textId="77777777" w:rsidTr="00527C37">
        <w:trPr>
          <w:trHeight w:val="262"/>
        </w:trPr>
        <w:tc>
          <w:tcPr>
            <w:tcW w:w="1424" w:type="pct"/>
          </w:tcPr>
          <w:p w14:paraId="0136C768" w14:textId="77777777" w:rsidR="00064644" w:rsidRPr="00BC2DC0" w:rsidRDefault="00064644" w:rsidP="00527C37">
            <w:pPr>
              <w:pStyle w:val="Tabelltext"/>
              <w:jc w:val="left"/>
              <w:rPr>
                <w:rFonts w:ascii="Titillium Web" w:hAnsi="Titillium Web"/>
                <w:sz w:val="18"/>
                <w:szCs w:val="28"/>
              </w:rPr>
            </w:pPr>
            <w:r w:rsidRPr="00BC2DC0">
              <w:rPr>
                <w:rFonts w:ascii="Titillium Web" w:hAnsi="Titillium Web"/>
                <w:sz w:val="18"/>
                <w:szCs w:val="28"/>
              </w:rPr>
              <w:t xml:space="preserve">PCR </w:t>
            </w:r>
            <w:proofErr w:type="spellStart"/>
            <w:r w:rsidRPr="00BC2DC0">
              <w:rPr>
                <w:rFonts w:ascii="Titillium Web" w:hAnsi="Titillium Web"/>
                <w:sz w:val="18"/>
                <w:szCs w:val="28"/>
              </w:rPr>
              <w:t>Committee</w:t>
            </w:r>
            <w:proofErr w:type="spellEnd"/>
            <w:r w:rsidRPr="00BC2DC0">
              <w:rPr>
                <w:rFonts w:ascii="Titillium Web" w:hAnsi="Titillium Web"/>
                <w:sz w:val="18"/>
                <w:szCs w:val="28"/>
              </w:rPr>
              <w:t>:</w:t>
            </w:r>
          </w:p>
        </w:tc>
        <w:tc>
          <w:tcPr>
            <w:tcW w:w="3576" w:type="pct"/>
          </w:tcPr>
          <w:p w14:paraId="2D8C8486" w14:textId="77777777" w:rsidR="00064644" w:rsidRPr="00CF00AC" w:rsidRDefault="00064644" w:rsidP="00527C37">
            <w:pPr>
              <w:pStyle w:val="Tabelltext"/>
              <w:jc w:val="left"/>
              <w:rPr>
                <w:rFonts w:ascii="Titillium Web" w:hAnsi="Titillium Web"/>
                <w:i/>
                <w:color w:val="FF0000"/>
                <w:sz w:val="18"/>
                <w:szCs w:val="28"/>
                <w:highlight w:val="yellow"/>
              </w:rPr>
            </w:pPr>
            <w:r w:rsidRPr="009406D3">
              <w:rPr>
                <w:rFonts w:ascii="Titillium Web" w:hAnsi="Titillium Web"/>
                <w:i/>
                <w:sz w:val="18"/>
                <w:szCs w:val="28"/>
                <w:highlight w:val="yellow"/>
              </w:rPr>
              <w:t>XXXX</w:t>
            </w:r>
          </w:p>
        </w:tc>
      </w:tr>
      <w:tr w:rsidR="00064644" w:rsidRPr="00E427A0" w14:paraId="6847D046" w14:textId="77777777" w:rsidTr="00527C37">
        <w:tc>
          <w:tcPr>
            <w:tcW w:w="1424" w:type="pct"/>
          </w:tcPr>
          <w:p w14:paraId="5424DD28" w14:textId="77777777" w:rsidR="00064644" w:rsidRPr="00A136A6" w:rsidRDefault="00064644" w:rsidP="00527C37">
            <w:pPr>
              <w:pStyle w:val="Tabelltext"/>
              <w:jc w:val="left"/>
              <w:rPr>
                <w:rFonts w:ascii="Titillium Web" w:hAnsi="Titillium Web"/>
                <w:sz w:val="18"/>
                <w:szCs w:val="18"/>
                <w:lang w:val="en-US"/>
              </w:rPr>
            </w:pPr>
            <w:r w:rsidRPr="00A136A6">
              <w:rPr>
                <w:rFonts w:ascii="Titillium Web" w:hAnsi="Titillium Web"/>
                <w:sz w:val="18"/>
                <w:szCs w:val="18"/>
                <w:lang w:val="en-US"/>
              </w:rPr>
              <w:t>PCR Review panel</w:t>
            </w:r>
          </w:p>
        </w:tc>
        <w:tc>
          <w:tcPr>
            <w:tcW w:w="3576" w:type="pct"/>
          </w:tcPr>
          <w:p w14:paraId="25452276" w14:textId="77777777" w:rsidR="00064644" w:rsidRPr="00A136A6" w:rsidRDefault="00064644" w:rsidP="00527C37">
            <w:pPr>
              <w:pStyle w:val="Tabelltext"/>
              <w:jc w:val="left"/>
              <w:rPr>
                <w:rFonts w:ascii="Titillium Web" w:hAnsi="Titillium Web"/>
                <w:sz w:val="18"/>
                <w:szCs w:val="18"/>
                <w:lang w:val="en-US"/>
              </w:rPr>
            </w:pPr>
            <w:r w:rsidRPr="00A136A6">
              <w:rPr>
                <w:rFonts w:ascii="Titillium Web" w:hAnsi="Titillium Web"/>
                <w:sz w:val="18"/>
                <w:szCs w:val="18"/>
                <w:lang w:val="en-US"/>
              </w:rPr>
              <w:t xml:space="preserve">The Technical-Scientific Committee of Carbon Footprint Italy. The review panel may be contacted via </w:t>
            </w:r>
            <w:r w:rsidR="001723AA">
              <w:fldChar w:fldCharType="begin"/>
            </w:r>
            <w:r w:rsidR="001723AA" w:rsidRPr="00E427A0">
              <w:rPr>
                <w:lang w:val="en-US"/>
              </w:rPr>
              <w:instrText xml:space="preserve"> HYPERLINK "mailto:info@carbonfootprintitaly.it" </w:instrText>
            </w:r>
            <w:r w:rsidR="001723AA">
              <w:fldChar w:fldCharType="separate"/>
            </w:r>
            <w:r w:rsidRPr="00A136A6">
              <w:rPr>
                <w:rStyle w:val="Collegamentoipertestuale"/>
                <w:rFonts w:ascii="Titillium Web" w:hAnsi="Titillium Web"/>
                <w:sz w:val="18"/>
                <w:szCs w:val="18"/>
                <w:lang w:val="en-US"/>
              </w:rPr>
              <w:t>info@carbonfootprintitaly.it</w:t>
            </w:r>
            <w:r w:rsidR="001723AA">
              <w:rPr>
                <w:rStyle w:val="Collegamentoipertestuale"/>
                <w:rFonts w:ascii="Titillium Web" w:hAnsi="Titillium Web"/>
                <w:sz w:val="18"/>
                <w:szCs w:val="18"/>
                <w:lang w:val="en-US"/>
              </w:rPr>
              <w:fldChar w:fldCharType="end"/>
            </w:r>
          </w:p>
        </w:tc>
      </w:tr>
      <w:tr w:rsidR="00064644" w:rsidRPr="0025605C" w14:paraId="348BFF41" w14:textId="77777777" w:rsidTr="00527C37">
        <w:tc>
          <w:tcPr>
            <w:tcW w:w="1424" w:type="pct"/>
          </w:tcPr>
          <w:p w14:paraId="260DEB3E"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PCR </w:t>
            </w:r>
            <w:proofErr w:type="spellStart"/>
            <w:r>
              <w:rPr>
                <w:rFonts w:ascii="Titillium Web" w:hAnsi="Titillium Web"/>
                <w:sz w:val="18"/>
                <w:szCs w:val="28"/>
              </w:rPr>
              <w:t>i</w:t>
            </w:r>
            <w:r w:rsidRPr="0025605C">
              <w:rPr>
                <w:rFonts w:ascii="Titillium Web" w:hAnsi="Titillium Web"/>
                <w:sz w:val="18"/>
                <w:szCs w:val="28"/>
              </w:rPr>
              <w:t>nitiation</w:t>
            </w:r>
            <w:proofErr w:type="spellEnd"/>
            <w:r w:rsidRPr="0025605C">
              <w:rPr>
                <w:rFonts w:ascii="Titillium Web" w:hAnsi="Titillium Web"/>
                <w:sz w:val="18"/>
                <w:szCs w:val="28"/>
              </w:rPr>
              <w:t xml:space="preserve"> </w:t>
            </w:r>
            <w:proofErr w:type="spellStart"/>
            <w:r w:rsidRPr="0025605C">
              <w:rPr>
                <w:rFonts w:ascii="Titillium Web" w:hAnsi="Titillium Web"/>
                <w:sz w:val="18"/>
                <w:szCs w:val="28"/>
              </w:rPr>
              <w:t>phase</w:t>
            </w:r>
            <w:proofErr w:type="spellEnd"/>
            <w:r>
              <w:rPr>
                <w:rFonts w:ascii="Titillium Web" w:hAnsi="Titillium Web"/>
                <w:sz w:val="18"/>
                <w:szCs w:val="28"/>
              </w:rPr>
              <w:t>:</w:t>
            </w:r>
          </w:p>
        </w:tc>
        <w:tc>
          <w:tcPr>
            <w:tcW w:w="3576" w:type="pct"/>
          </w:tcPr>
          <w:p w14:paraId="7F066CE1" w14:textId="77777777" w:rsidR="00064644" w:rsidRPr="0025605C" w:rsidRDefault="00064644" w:rsidP="00527C37">
            <w:pPr>
              <w:pStyle w:val="Tabelltext"/>
              <w:jc w:val="left"/>
              <w:rPr>
                <w:rFonts w:ascii="Titillium Web" w:hAnsi="Titillium Web"/>
                <w:sz w:val="18"/>
                <w:szCs w:val="28"/>
              </w:rPr>
            </w:pPr>
            <w:r w:rsidRPr="00A136A6">
              <w:rPr>
                <w:rFonts w:ascii="Titillium Web" w:hAnsi="Titillium Web"/>
                <w:sz w:val="18"/>
                <w:szCs w:val="28"/>
                <w:highlight w:val="yellow"/>
              </w:rPr>
              <w:t>202X-XX-XX</w:t>
            </w:r>
          </w:p>
        </w:tc>
      </w:tr>
      <w:tr w:rsidR="00064644" w:rsidRPr="00BC2DC0" w14:paraId="5DB069DB" w14:textId="77777777" w:rsidTr="00527C37">
        <w:tc>
          <w:tcPr>
            <w:tcW w:w="1424" w:type="pct"/>
          </w:tcPr>
          <w:p w14:paraId="79CC42D7"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Open </w:t>
            </w:r>
            <w:proofErr w:type="spellStart"/>
            <w:r>
              <w:rPr>
                <w:rFonts w:ascii="Titillium Web" w:hAnsi="Titillium Web"/>
                <w:sz w:val="18"/>
                <w:szCs w:val="28"/>
              </w:rPr>
              <w:t>consultation</w:t>
            </w:r>
            <w:proofErr w:type="spellEnd"/>
            <w:r>
              <w:rPr>
                <w:rFonts w:ascii="Titillium Web" w:hAnsi="Titillium Web"/>
                <w:sz w:val="18"/>
                <w:szCs w:val="28"/>
              </w:rPr>
              <w:t>:</w:t>
            </w:r>
          </w:p>
        </w:tc>
        <w:tc>
          <w:tcPr>
            <w:tcW w:w="3576" w:type="pct"/>
          </w:tcPr>
          <w:p w14:paraId="2C2D3754" w14:textId="77777777" w:rsidR="00064644" w:rsidRPr="00BC2DC0" w:rsidRDefault="00064644" w:rsidP="00527C37">
            <w:pPr>
              <w:pStyle w:val="Tabelltext"/>
              <w:jc w:val="left"/>
              <w:rPr>
                <w:rFonts w:ascii="Titillium Web" w:hAnsi="Titillium Web"/>
                <w:i/>
                <w:sz w:val="18"/>
                <w:szCs w:val="28"/>
              </w:rPr>
            </w:pPr>
            <w:r w:rsidRPr="00A136A6">
              <w:rPr>
                <w:rFonts w:ascii="Titillium Web" w:hAnsi="Titillium Web"/>
                <w:i/>
                <w:sz w:val="18"/>
                <w:szCs w:val="28"/>
                <w:highlight w:val="yellow"/>
              </w:rPr>
              <w:t>202X-XX-XX</w:t>
            </w:r>
            <w:r>
              <w:rPr>
                <w:rFonts w:ascii="Titillium Web" w:hAnsi="Titillium Web"/>
                <w:i/>
                <w:sz w:val="18"/>
                <w:szCs w:val="28"/>
              </w:rPr>
              <w:t xml:space="preserve"> – </w:t>
            </w:r>
            <w:r w:rsidRPr="00A136A6">
              <w:rPr>
                <w:rFonts w:ascii="Titillium Web" w:hAnsi="Titillium Web"/>
                <w:i/>
                <w:sz w:val="18"/>
                <w:szCs w:val="28"/>
                <w:highlight w:val="yellow"/>
              </w:rPr>
              <w:t>202X-XX-XX</w:t>
            </w:r>
          </w:p>
        </w:tc>
      </w:tr>
      <w:tr w:rsidR="00064644" w:rsidRPr="00BC2DC0" w14:paraId="7C892852" w14:textId="77777777" w:rsidTr="00527C37">
        <w:tc>
          <w:tcPr>
            <w:tcW w:w="14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D9D651" w14:textId="77777777" w:rsidR="00064644" w:rsidRPr="00BC2DC0" w:rsidRDefault="00064644" w:rsidP="00527C37">
            <w:pPr>
              <w:pStyle w:val="Tabelltext"/>
              <w:jc w:val="left"/>
              <w:rPr>
                <w:rFonts w:ascii="Titillium Web" w:hAnsi="Titillium Web"/>
                <w:sz w:val="18"/>
                <w:szCs w:val="28"/>
              </w:rPr>
            </w:pPr>
            <w:proofErr w:type="spellStart"/>
            <w:r>
              <w:rPr>
                <w:rFonts w:ascii="Titillium Web" w:hAnsi="Titillium Web"/>
                <w:sz w:val="18"/>
                <w:szCs w:val="28"/>
              </w:rPr>
              <w:t>Publication</w:t>
            </w:r>
            <w:proofErr w:type="spellEnd"/>
            <w:r>
              <w:rPr>
                <w:rFonts w:ascii="Titillium Web" w:hAnsi="Titillium Web"/>
                <w:sz w:val="18"/>
                <w:szCs w:val="28"/>
              </w:rPr>
              <w:t>:</w:t>
            </w:r>
          </w:p>
        </w:tc>
        <w:tc>
          <w:tcPr>
            <w:tcW w:w="357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FFC082" w14:textId="77777777" w:rsidR="00064644" w:rsidRPr="00BC2DC0" w:rsidRDefault="00064644" w:rsidP="00527C37">
            <w:pPr>
              <w:pStyle w:val="Tabelltext"/>
              <w:jc w:val="left"/>
              <w:rPr>
                <w:rFonts w:ascii="Titillium Web" w:hAnsi="Titillium Web"/>
                <w:sz w:val="18"/>
                <w:szCs w:val="28"/>
              </w:rPr>
            </w:pPr>
            <w:proofErr w:type="spellStart"/>
            <w:r w:rsidRPr="00BC2DC0">
              <w:rPr>
                <w:rFonts w:ascii="Titillium Web" w:hAnsi="Titillium Web"/>
                <w:i/>
                <w:color w:val="FF0000"/>
                <w:sz w:val="18"/>
                <w:szCs w:val="28"/>
              </w:rPr>
              <w:t>Added</w:t>
            </w:r>
            <w:proofErr w:type="spellEnd"/>
            <w:r w:rsidRPr="00BC2DC0">
              <w:rPr>
                <w:rFonts w:ascii="Titillium Web" w:hAnsi="Titillium Web"/>
                <w:i/>
                <w:color w:val="FF0000"/>
                <w:sz w:val="18"/>
                <w:szCs w:val="28"/>
              </w:rPr>
              <w:t xml:space="preserve"> by the </w:t>
            </w:r>
            <w:proofErr w:type="spellStart"/>
            <w:r w:rsidRPr="00BC2DC0">
              <w:rPr>
                <w:rFonts w:ascii="Titillium Web" w:hAnsi="Titillium Web"/>
                <w:i/>
                <w:color w:val="FF0000"/>
                <w:sz w:val="18"/>
                <w:szCs w:val="28"/>
              </w:rPr>
              <w:t>Secretariat</w:t>
            </w:r>
            <w:proofErr w:type="spellEnd"/>
          </w:p>
        </w:tc>
      </w:tr>
      <w:tr w:rsidR="00064644" w:rsidRPr="00BC2DC0" w14:paraId="55F250EA" w14:textId="77777777" w:rsidTr="00527C37">
        <w:tc>
          <w:tcPr>
            <w:tcW w:w="14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DCBD9D" w14:textId="77777777" w:rsidR="00064644" w:rsidRPr="00BC2DC0" w:rsidRDefault="00064644" w:rsidP="00527C37">
            <w:pPr>
              <w:pStyle w:val="Tabelltext"/>
              <w:jc w:val="left"/>
              <w:rPr>
                <w:rFonts w:ascii="Titillium Web" w:hAnsi="Titillium Web"/>
                <w:sz w:val="18"/>
                <w:szCs w:val="28"/>
              </w:rPr>
            </w:pPr>
            <w:proofErr w:type="spellStart"/>
            <w:r w:rsidRPr="00BC2DC0">
              <w:rPr>
                <w:rFonts w:ascii="Titillium Web" w:hAnsi="Titillium Web"/>
                <w:sz w:val="18"/>
                <w:szCs w:val="28"/>
              </w:rPr>
              <w:t>Valid</w:t>
            </w:r>
            <w:proofErr w:type="spellEnd"/>
            <w:r w:rsidRPr="00BC2DC0">
              <w:rPr>
                <w:rFonts w:ascii="Titillium Web" w:hAnsi="Titillium Web"/>
                <w:sz w:val="18"/>
                <w:szCs w:val="28"/>
              </w:rPr>
              <w:t xml:space="preserve"> </w:t>
            </w:r>
            <w:proofErr w:type="spellStart"/>
            <w:r w:rsidRPr="00BC2DC0">
              <w:rPr>
                <w:rFonts w:ascii="Titillium Web" w:hAnsi="Titillium Web"/>
                <w:sz w:val="18"/>
                <w:szCs w:val="28"/>
              </w:rPr>
              <w:t>until</w:t>
            </w:r>
            <w:proofErr w:type="spellEnd"/>
            <w:r w:rsidRPr="00BC2DC0">
              <w:rPr>
                <w:rFonts w:ascii="Titillium Web" w:hAnsi="Titillium Web"/>
                <w:sz w:val="18"/>
                <w:szCs w:val="28"/>
              </w:rPr>
              <w:t>:</w:t>
            </w:r>
          </w:p>
        </w:tc>
        <w:tc>
          <w:tcPr>
            <w:tcW w:w="357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62F233" w14:textId="77777777" w:rsidR="00064644" w:rsidRPr="006A0AD2" w:rsidRDefault="00064644" w:rsidP="00527C37">
            <w:pPr>
              <w:pStyle w:val="Tabelltext"/>
              <w:jc w:val="left"/>
              <w:rPr>
                <w:rFonts w:ascii="Titillium Web" w:hAnsi="Titillium Web"/>
                <w:i/>
                <w:color w:val="FF0000"/>
                <w:sz w:val="18"/>
                <w:szCs w:val="28"/>
              </w:rPr>
            </w:pPr>
            <w:proofErr w:type="spellStart"/>
            <w:r w:rsidRPr="00BC2DC0">
              <w:rPr>
                <w:rFonts w:ascii="Titillium Web" w:hAnsi="Titillium Web"/>
                <w:i/>
                <w:color w:val="FF0000"/>
                <w:sz w:val="18"/>
                <w:szCs w:val="28"/>
              </w:rPr>
              <w:t>Added</w:t>
            </w:r>
            <w:proofErr w:type="spellEnd"/>
            <w:r w:rsidRPr="00BC2DC0">
              <w:rPr>
                <w:rFonts w:ascii="Titillium Web" w:hAnsi="Titillium Web"/>
                <w:i/>
                <w:color w:val="FF0000"/>
                <w:sz w:val="18"/>
                <w:szCs w:val="28"/>
              </w:rPr>
              <w:t xml:space="preserve"> by the </w:t>
            </w:r>
            <w:proofErr w:type="spellStart"/>
            <w:r w:rsidRPr="00BC2DC0">
              <w:rPr>
                <w:rFonts w:ascii="Titillium Web" w:hAnsi="Titillium Web"/>
                <w:i/>
                <w:color w:val="FF0000"/>
                <w:sz w:val="18"/>
                <w:szCs w:val="28"/>
              </w:rPr>
              <w:t>Secretariat</w:t>
            </w:r>
            <w:proofErr w:type="spellEnd"/>
          </w:p>
        </w:tc>
      </w:tr>
    </w:tbl>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064644" w:rsidRPr="00E427A0" w14:paraId="28406CE7" w14:textId="77777777" w:rsidTr="00527C37">
        <w:trPr>
          <w:trHeight w:val="170"/>
        </w:trPr>
        <w:tc>
          <w:tcPr>
            <w:tcW w:w="7031" w:type="dxa"/>
            <w:shd w:val="clear" w:color="auto" w:fill="auto"/>
          </w:tcPr>
          <w:p w14:paraId="4C16F84D" w14:textId="77777777" w:rsidR="00064644" w:rsidRPr="00A136A6" w:rsidRDefault="00064644" w:rsidP="00527C37">
            <w:pPr>
              <w:pStyle w:val="Pidipagina"/>
              <w:jc w:val="both"/>
              <w:rPr>
                <w:rFonts w:ascii="Titillium Web" w:hAnsi="Titillium Web"/>
                <w:sz w:val="14"/>
                <w:highlight w:val="yellow"/>
                <w:lang w:val="en-US"/>
              </w:rPr>
            </w:pPr>
            <w:bookmarkStart w:id="54" w:name="xxBaksidestabell"/>
            <w:r w:rsidRPr="00A136A6">
              <w:rPr>
                <w:rFonts w:ascii="Titillium Web" w:hAnsi="Titillium Web"/>
                <w:sz w:val="14"/>
                <w:highlight w:val="yellow"/>
                <w:lang w:val="en-US"/>
              </w:rPr>
              <w:t xml:space="preserve">Cover image © </w:t>
            </w:r>
            <w:r w:rsidRPr="00A136A6">
              <w:rPr>
                <w:rFonts w:ascii="Titillium Web" w:hAnsi="Titillium Web"/>
                <w:i/>
                <w:sz w:val="14"/>
                <w:highlight w:val="yellow"/>
                <w:lang w:val="en-US"/>
              </w:rPr>
              <w:t>added by the Secretariat in the PCR</w:t>
            </w:r>
          </w:p>
        </w:tc>
      </w:tr>
      <w:bookmarkEnd w:id="54"/>
    </w:tbl>
    <w:p w14:paraId="4A9EA5F8" w14:textId="77777777" w:rsidR="00064644" w:rsidRDefault="00064644" w:rsidP="00064644">
      <w:pPr>
        <w:rPr>
          <w:rFonts w:ascii="Titillium Web" w:hAnsi="Titillium Web"/>
          <w:lang w:val="en-US"/>
        </w:rPr>
      </w:pPr>
    </w:p>
    <w:p w14:paraId="435202F2" w14:textId="77777777" w:rsidR="00064644" w:rsidRPr="009A1CE3" w:rsidRDefault="00064644" w:rsidP="00064644">
      <w:pPr>
        <w:jc w:val="both"/>
        <w:rPr>
          <w:rFonts w:ascii="Titillium Web" w:hAnsi="Titillium Web"/>
          <w:iCs/>
          <w:color w:val="000000" w:themeColor="text1"/>
          <w:sz w:val="18"/>
          <w:szCs w:val="28"/>
          <w:lang w:val="en-US"/>
        </w:rPr>
      </w:pPr>
    </w:p>
    <w:p w14:paraId="75B8965C" w14:textId="77777777" w:rsidR="00DE50E8" w:rsidRPr="00064644" w:rsidRDefault="00DE50E8">
      <w:pPr>
        <w:rPr>
          <w:lang w:val="en-US"/>
        </w:rPr>
      </w:pPr>
    </w:p>
    <w:sectPr w:rsidR="00DE50E8" w:rsidRPr="0006464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33DC" w14:textId="77777777" w:rsidR="001723AA" w:rsidRDefault="001723AA" w:rsidP="00064644">
      <w:r>
        <w:separator/>
      </w:r>
    </w:p>
  </w:endnote>
  <w:endnote w:type="continuationSeparator" w:id="0">
    <w:p w14:paraId="2297DD36" w14:textId="77777777" w:rsidR="001723AA" w:rsidRDefault="001723AA" w:rsidP="0006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altName w:val="Courier New"/>
    <w:panose1 w:val="00000500000000000000"/>
    <w:charset w:val="4D"/>
    <w:family w:val="auto"/>
    <w:pitch w:val="variable"/>
    <w:sig w:usb0="00000007" w:usb1="00000001" w:usb2="00000000" w:usb3="00000000" w:csb0="00000093" w:csb1="00000000"/>
  </w:font>
  <w:font w:name="Titillium Web Light">
    <w:altName w:val="Courier New"/>
    <w:panose1 w:val="000004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DBA5" w14:textId="77777777" w:rsidR="00E427A0" w:rsidRDefault="00E427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746D" w14:textId="77777777" w:rsidR="00E427A0" w:rsidRDefault="00E427A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7DFD" w14:textId="77777777" w:rsidR="00E427A0" w:rsidRDefault="00E427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5BC0" w14:textId="77777777" w:rsidR="001723AA" w:rsidRDefault="001723AA" w:rsidP="00064644">
      <w:r>
        <w:separator/>
      </w:r>
    </w:p>
  </w:footnote>
  <w:footnote w:type="continuationSeparator" w:id="0">
    <w:p w14:paraId="1F808BA3" w14:textId="77777777" w:rsidR="001723AA" w:rsidRDefault="001723AA" w:rsidP="00064644">
      <w:r>
        <w:continuationSeparator/>
      </w:r>
    </w:p>
  </w:footnote>
  <w:footnote w:id="1">
    <w:p w14:paraId="3C47CE50" w14:textId="77777777" w:rsidR="00064644" w:rsidRPr="003A55AB" w:rsidRDefault="00064644" w:rsidP="00064644">
      <w:pPr>
        <w:pStyle w:val="Testonotaapidipagina"/>
        <w:rPr>
          <w:rFonts w:ascii="Titillium Web Light" w:hAnsi="Titillium Web Light"/>
          <w:sz w:val="18"/>
          <w:szCs w:val="22"/>
          <w:lang w:val="en-US"/>
        </w:rPr>
      </w:pPr>
      <w:r w:rsidRPr="003515D6">
        <w:rPr>
          <w:rStyle w:val="Rimandonotaapidipagina"/>
          <w:rFonts w:ascii="Titillium Web Light" w:hAnsi="Titillium Web Light"/>
          <w:sz w:val="18"/>
          <w:szCs w:val="22"/>
        </w:rPr>
        <w:footnoteRef/>
      </w:r>
      <w:r w:rsidRPr="003A55AB">
        <w:rPr>
          <w:rFonts w:ascii="Titillium Web Light" w:hAnsi="Titillium Web Light"/>
          <w:sz w:val="18"/>
          <w:szCs w:val="22"/>
          <w:lang w:val="en-US"/>
        </w:rPr>
        <w:t xml:space="preserve"> </w:t>
      </w:r>
      <w:r w:rsidRPr="003515D6">
        <w:rPr>
          <w:rFonts w:ascii="Titillium Web Light" w:hAnsi="Titillium Web Light"/>
          <w:sz w:val="18"/>
          <w:szCs w:val="22"/>
          <w:lang w:val="en-GB"/>
        </w:rPr>
        <w:t>The residual electricity mix is the mix when all contract-specific electricity that has been sold to other customers has been subtracted from the total production mix of the electricity supplier.</w:t>
      </w:r>
    </w:p>
  </w:footnote>
  <w:footnote w:id="2">
    <w:p w14:paraId="29C2A915" w14:textId="77777777" w:rsidR="00064644" w:rsidRPr="00886C08" w:rsidRDefault="00064644" w:rsidP="00064644">
      <w:pPr>
        <w:pStyle w:val="Testonotaapidipagina"/>
        <w:jc w:val="both"/>
        <w:rPr>
          <w:rFonts w:ascii="Titillium Web" w:hAnsi="Titillium Web"/>
          <w:sz w:val="16"/>
          <w:szCs w:val="16"/>
          <w:lang w:val="en-US"/>
        </w:rPr>
      </w:pPr>
      <w:r w:rsidRPr="0025605C">
        <w:rPr>
          <w:rFonts w:ascii="Titillium Web" w:hAnsi="Titillium Web"/>
          <w:sz w:val="16"/>
          <w:szCs w:val="16"/>
          <w:vertAlign w:val="superscript"/>
        </w:rPr>
        <w:footnoteRef/>
      </w:r>
      <w:r w:rsidRPr="00886C08">
        <w:rPr>
          <w:rFonts w:ascii="Titillium Web" w:hAnsi="Titillium Web"/>
          <w:sz w:val="16"/>
          <w:szCs w:val="16"/>
          <w:lang w:val="en-US"/>
        </w:rPr>
        <w:t xml:space="preserve"> Product Category Rules (PCRs) are documents that provide the rules, requirements and guidelines for developing a CFP study for a specific product category. </w:t>
      </w:r>
      <w:r w:rsidRPr="003A55AB">
        <w:rPr>
          <w:rFonts w:ascii="Titillium Web" w:hAnsi="Titillium Web"/>
          <w:sz w:val="16"/>
          <w:szCs w:val="16"/>
          <w:lang w:val="en-US"/>
        </w:rPr>
        <w:t xml:space="preserve">PCRs are necessary to ensure uniformity of methodological approach to studies and to allow comparability between CFP studies related to products of the same category. </w:t>
      </w:r>
      <w:r w:rsidRPr="00886C08">
        <w:rPr>
          <w:rFonts w:ascii="Titillium Web" w:hAnsi="Titillium Web"/>
          <w:sz w:val="16"/>
          <w:szCs w:val="16"/>
          <w:lang w:val="en-US"/>
        </w:rPr>
        <w:t>The PCR development process is described in the “PQ04 PCR development” procedure, which can be downloaded in the dedicated section of the website.</w:t>
      </w:r>
    </w:p>
    <w:p w14:paraId="2BDD5230" w14:textId="77777777" w:rsidR="00064644" w:rsidRPr="003A55AB" w:rsidRDefault="00064644" w:rsidP="00064644">
      <w:pPr>
        <w:pStyle w:val="Testonotaapidipagina"/>
        <w:jc w:val="both"/>
        <w:rPr>
          <w:rFonts w:ascii="Titillium Web Light" w:hAnsi="Titillium Web Light"/>
          <w:sz w:val="18"/>
          <w:szCs w:val="22"/>
          <w:lang w:val="en-US"/>
        </w:rPr>
      </w:pPr>
      <w:r w:rsidRPr="003A55AB">
        <w:rPr>
          <w:rFonts w:ascii="Titillium Web" w:hAnsi="Titillium Web"/>
          <w:sz w:val="16"/>
          <w:szCs w:val="16"/>
          <w:lang w:val="en-US"/>
        </w:rPr>
        <w:t>This PCR follows the requirements of ISO/TS 14027, ISO 14067 and ISO 14025.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A0EE" w14:textId="77777777" w:rsidR="00E427A0" w:rsidRDefault="00E427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99A8" w14:textId="151D875B" w:rsidR="00E427A0" w:rsidRDefault="00E427A0">
    <w:pPr>
      <w:pStyle w:val="Intestazione"/>
    </w:pPr>
    <w:r>
      <w:rPr>
        <w:noProof/>
      </w:rPr>
      <w:drawing>
        <wp:anchor distT="0" distB="0" distL="114300" distR="114300" simplePos="0" relativeHeight="251658240" behindDoc="1" locked="0" layoutInCell="1" allowOverlap="1" wp14:anchorId="28DE7D1C" wp14:editId="0A242D7A">
          <wp:simplePos x="0" y="0"/>
          <wp:positionH relativeFrom="column">
            <wp:posOffset>5845126</wp:posOffset>
          </wp:positionH>
          <wp:positionV relativeFrom="paragraph">
            <wp:posOffset>-316523</wp:posOffset>
          </wp:positionV>
          <wp:extent cx="856800" cy="540000"/>
          <wp:effectExtent l="0" t="0" r="0" b="6350"/>
          <wp:wrapNone/>
          <wp:docPr id="5" name="Picture 4" descr="Italy – Carbon Footprint International">
            <a:extLst xmlns:a="http://schemas.openxmlformats.org/drawingml/2006/main">
              <a:ext uri="{FF2B5EF4-FFF2-40B4-BE49-F238E27FC236}">
                <a16:creationId xmlns:a16="http://schemas.microsoft.com/office/drawing/2014/main" id="{AB3C408E-F6F1-4F17-998E-7FC926D5D2BC}"/>
              </a:ext>
            </a:extLst>
          </wp:docPr>
          <wp:cNvGraphicFramePr/>
          <a:graphic xmlns:a="http://schemas.openxmlformats.org/drawingml/2006/main">
            <a:graphicData uri="http://schemas.openxmlformats.org/drawingml/2006/picture">
              <pic:pic xmlns:pic="http://schemas.openxmlformats.org/drawingml/2006/picture">
                <pic:nvPicPr>
                  <pic:cNvPr id="5" name="Picture 4" descr="Italy – Carbon Footprint International">
                    <a:extLst>
                      <a:ext uri="{FF2B5EF4-FFF2-40B4-BE49-F238E27FC236}">
                        <a16:creationId xmlns:a16="http://schemas.microsoft.com/office/drawing/2014/main" id="{AB3C408E-F6F1-4F17-998E-7FC926D5D2B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EACD" w14:textId="77777777" w:rsidR="00E427A0" w:rsidRDefault="00E427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835B1F"/>
    <w:multiLevelType w:val="hybridMultilevel"/>
    <w:tmpl w:val="FA7033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B2900A7"/>
    <w:multiLevelType w:val="hybridMultilevel"/>
    <w:tmpl w:val="8F5C5F2C"/>
    <w:lvl w:ilvl="0" w:tplc="6602F4F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15D3B"/>
    <w:multiLevelType w:val="multilevel"/>
    <w:tmpl w:val="D03C0CC8"/>
    <w:lvl w:ilvl="0">
      <w:start w:val="1"/>
      <w:numFmt w:val="decimal"/>
      <w:lvlText w:val="%1."/>
      <w:lvlJc w:val="left"/>
      <w:pPr>
        <w:ind w:left="720" w:hanging="360"/>
      </w:pPr>
      <w:rPr>
        <w:rFonts w:hint="default"/>
        <w:color w:val="0070C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A97DC1"/>
    <w:multiLevelType w:val="multilevel"/>
    <w:tmpl w:val="32C06ABA"/>
    <w:lvl w:ilvl="0">
      <w:start w:val="1"/>
      <w:numFmt w:val="bullet"/>
      <w:pStyle w:val="ListaPunkter"/>
      <w:lvlText w:val=""/>
      <w:lvlJc w:val="left"/>
      <w:pPr>
        <w:tabs>
          <w:tab w:val="num" w:pos="454"/>
        </w:tabs>
        <w:ind w:left="454" w:hanging="454"/>
      </w:pPr>
      <w:rPr>
        <w:rFonts w:ascii="Wingdings" w:hAnsi="Wingdings" w:hint="default"/>
        <w:color w:val="4472C4" w:themeColor="accent1"/>
      </w:rPr>
    </w:lvl>
    <w:lvl w:ilvl="1">
      <w:start w:val="1"/>
      <w:numFmt w:val="bullet"/>
      <w:lvlText w:val=""/>
      <w:lvlJc w:val="left"/>
      <w:pPr>
        <w:ind w:left="814" w:hanging="360"/>
      </w:pPr>
      <w:rPr>
        <w:rFonts w:ascii="Wingdings" w:hAnsi="Wingding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4472C4"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44"/>
    <w:rsid w:val="00064644"/>
    <w:rsid w:val="001723AA"/>
    <w:rsid w:val="003031BF"/>
    <w:rsid w:val="00752092"/>
    <w:rsid w:val="00DE50E8"/>
    <w:rsid w:val="00E42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BA2F"/>
  <w15:chartTrackingRefBased/>
  <w15:docId w15:val="{AC8E61BE-02BB-C641-8EC0-F9282E2A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644"/>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64644"/>
    <w:pPr>
      <w:keepNext/>
      <w:keepLines/>
      <w:spacing w:before="720" w:line="440" w:lineRule="atLeast"/>
      <w:outlineLvl w:val="0"/>
    </w:pPr>
    <w:rPr>
      <w:bCs/>
      <w:caps/>
      <w:kern w:val="32"/>
      <w:sz w:val="30"/>
      <w:szCs w:val="32"/>
    </w:rPr>
  </w:style>
  <w:style w:type="paragraph" w:styleId="Titolo2">
    <w:name w:val="heading 2"/>
    <w:basedOn w:val="Normale"/>
    <w:next w:val="Normale"/>
    <w:link w:val="Titolo2Carattere"/>
    <w:qFormat/>
    <w:rsid w:val="00064644"/>
    <w:pPr>
      <w:keepNext/>
      <w:spacing w:before="360"/>
      <w:outlineLvl w:val="1"/>
    </w:pPr>
    <w:rPr>
      <w:bCs/>
      <w:iCs/>
      <w:caps/>
      <w:sz w:val="26"/>
      <w:szCs w:val="28"/>
    </w:rPr>
  </w:style>
  <w:style w:type="paragraph" w:styleId="Titolo3">
    <w:name w:val="heading 3"/>
    <w:basedOn w:val="Normale"/>
    <w:next w:val="Normale"/>
    <w:link w:val="Titolo3Carattere"/>
    <w:qFormat/>
    <w:rsid w:val="00064644"/>
    <w:pPr>
      <w:keepNext/>
      <w:keepLines/>
      <w:spacing w:before="360"/>
      <w:outlineLvl w:val="2"/>
    </w:pPr>
    <w:rPr>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4644"/>
    <w:rPr>
      <w:rFonts w:ascii="Times New Roman" w:eastAsia="Times New Roman" w:hAnsi="Times New Roman" w:cs="Times New Roman"/>
      <w:bCs/>
      <w:caps/>
      <w:kern w:val="32"/>
      <w:sz w:val="30"/>
      <w:szCs w:val="32"/>
      <w:lang w:eastAsia="it-IT"/>
    </w:rPr>
  </w:style>
  <w:style w:type="character" w:customStyle="1" w:styleId="Titolo2Carattere">
    <w:name w:val="Titolo 2 Carattere"/>
    <w:basedOn w:val="Carpredefinitoparagrafo"/>
    <w:link w:val="Titolo2"/>
    <w:rsid w:val="00064644"/>
    <w:rPr>
      <w:rFonts w:ascii="Times New Roman" w:eastAsia="Times New Roman" w:hAnsi="Times New Roman" w:cs="Times New Roman"/>
      <w:bCs/>
      <w:iCs/>
      <w:caps/>
      <w:sz w:val="26"/>
      <w:szCs w:val="28"/>
      <w:lang w:eastAsia="it-IT"/>
    </w:rPr>
  </w:style>
  <w:style w:type="character" w:customStyle="1" w:styleId="Titolo3Carattere">
    <w:name w:val="Titolo 3 Carattere"/>
    <w:basedOn w:val="Carpredefinitoparagrafo"/>
    <w:link w:val="Titolo3"/>
    <w:rsid w:val="00064644"/>
    <w:rPr>
      <w:rFonts w:ascii="Times New Roman" w:eastAsia="Times New Roman" w:hAnsi="Times New Roman" w:cs="Times New Roman"/>
      <w:bCs/>
      <w:caps/>
      <w:szCs w:val="26"/>
      <w:lang w:eastAsia="it-IT"/>
    </w:rPr>
  </w:style>
  <w:style w:type="paragraph" w:styleId="Pidipagina">
    <w:name w:val="footer"/>
    <w:basedOn w:val="Normale"/>
    <w:link w:val="PidipaginaCarattere"/>
    <w:rsid w:val="00064644"/>
    <w:pPr>
      <w:tabs>
        <w:tab w:val="center" w:pos="4536"/>
        <w:tab w:val="right" w:pos="9072"/>
      </w:tabs>
    </w:pPr>
    <w:rPr>
      <w:caps/>
      <w:spacing w:val="2"/>
      <w:sz w:val="12"/>
    </w:rPr>
  </w:style>
  <w:style w:type="character" w:customStyle="1" w:styleId="PidipaginaCarattere">
    <w:name w:val="Piè di pagina Carattere"/>
    <w:basedOn w:val="Carpredefinitoparagrafo"/>
    <w:link w:val="Pidipagina"/>
    <w:rsid w:val="00064644"/>
    <w:rPr>
      <w:rFonts w:ascii="Times New Roman" w:eastAsia="Times New Roman" w:hAnsi="Times New Roman" w:cs="Times New Roman"/>
      <w:caps/>
      <w:spacing w:val="2"/>
      <w:sz w:val="12"/>
      <w:lang w:eastAsia="it-IT"/>
    </w:rPr>
  </w:style>
  <w:style w:type="paragraph" w:customStyle="1" w:styleId="ListaNummer">
    <w:name w:val="Lista Nummer"/>
    <w:basedOn w:val="Normale"/>
    <w:rsid w:val="00064644"/>
  </w:style>
  <w:style w:type="paragraph" w:customStyle="1" w:styleId="ListaPunkter">
    <w:name w:val="Lista Punkter"/>
    <w:basedOn w:val="Normale"/>
    <w:link w:val="ListaPunkterChar"/>
    <w:rsid w:val="00064644"/>
    <w:pPr>
      <w:numPr>
        <w:numId w:val="1"/>
      </w:numPr>
    </w:pPr>
  </w:style>
  <w:style w:type="character" w:customStyle="1" w:styleId="ListaPunkterChar">
    <w:name w:val="Lista Punkter Char"/>
    <w:link w:val="ListaPunkter"/>
    <w:rsid w:val="00064644"/>
    <w:rPr>
      <w:rFonts w:ascii="Times New Roman" w:eastAsia="Times New Roman" w:hAnsi="Times New Roman" w:cs="Times New Roman"/>
      <w:lang w:eastAsia="it-IT"/>
    </w:rPr>
  </w:style>
  <w:style w:type="character" w:styleId="Collegamentoipertestuale">
    <w:name w:val="Hyperlink"/>
    <w:basedOn w:val="Carpredefinitoparagrafo"/>
    <w:uiPriority w:val="99"/>
    <w:rsid w:val="00064644"/>
    <w:rPr>
      <w:rFonts w:ascii="Arial" w:hAnsi="Arial" w:cs="Arial"/>
      <w:noProof w:val="0"/>
      <w:color w:val="0000FF"/>
      <w:u w:val="single"/>
      <w:lang w:val="sv-SE"/>
    </w:rPr>
  </w:style>
  <w:style w:type="table" w:styleId="Grigliatabella">
    <w:name w:val="Table Grid"/>
    <w:basedOn w:val="Tabellanormale"/>
    <w:uiPriority w:val="59"/>
    <w:rsid w:val="00064644"/>
    <w:pPr>
      <w:spacing w:line="220" w:lineRule="atLeast"/>
      <w:ind w:left="22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e"/>
    <w:rsid w:val="00064644"/>
    <w:pPr>
      <w:spacing w:line="240" w:lineRule="atLeast"/>
      <w:ind w:left="57"/>
      <w:jc w:val="both"/>
    </w:pPr>
  </w:style>
  <w:style w:type="paragraph" w:styleId="Didascalia">
    <w:name w:val="caption"/>
    <w:basedOn w:val="Normale"/>
    <w:next w:val="Normale"/>
    <w:uiPriority w:val="35"/>
    <w:unhideWhenUsed/>
    <w:qFormat/>
    <w:rsid w:val="00064644"/>
    <w:pPr>
      <w:spacing w:after="200"/>
    </w:pPr>
    <w:rPr>
      <w:bCs/>
      <w:i/>
      <w:szCs w:val="18"/>
    </w:rPr>
  </w:style>
  <w:style w:type="character" w:styleId="Rimandonotaapidipagina">
    <w:name w:val="footnote reference"/>
    <w:basedOn w:val="Carpredefinitoparagrafo"/>
    <w:uiPriority w:val="99"/>
    <w:rsid w:val="00064644"/>
    <w:rPr>
      <w:rFonts w:ascii="Arial" w:hAnsi="Arial" w:cs="Arial"/>
      <w:noProof w:val="0"/>
      <w:vertAlign w:val="superscript"/>
      <w:lang w:val="sv-SE"/>
    </w:rPr>
  </w:style>
  <w:style w:type="paragraph" w:styleId="Testonotaapidipagina">
    <w:name w:val="footnote text"/>
    <w:basedOn w:val="Normale"/>
    <w:link w:val="TestonotaapidipaginaCarattere"/>
    <w:uiPriority w:val="99"/>
    <w:qFormat/>
    <w:rsid w:val="00064644"/>
    <w:pPr>
      <w:spacing w:after="60"/>
    </w:pPr>
    <w:rPr>
      <w:szCs w:val="20"/>
    </w:rPr>
  </w:style>
  <w:style w:type="character" w:customStyle="1" w:styleId="TestonotaapidipaginaCarattere">
    <w:name w:val="Testo nota a piè di pagina Carattere"/>
    <w:basedOn w:val="Carpredefinitoparagrafo"/>
    <w:link w:val="Testonotaapidipagina"/>
    <w:uiPriority w:val="99"/>
    <w:rsid w:val="00064644"/>
    <w:rPr>
      <w:rFonts w:ascii="Times New Roman" w:eastAsia="Times New Roman" w:hAnsi="Times New Roman" w:cs="Times New Roman"/>
      <w:szCs w:val="20"/>
      <w:lang w:eastAsia="it-IT"/>
    </w:rPr>
  </w:style>
  <w:style w:type="paragraph" w:styleId="NormaleWeb">
    <w:name w:val="Normal (Web)"/>
    <w:aliases w:val=" webb"/>
    <w:basedOn w:val="Normale"/>
    <w:link w:val="NormaleWebCarattere"/>
    <w:uiPriority w:val="99"/>
    <w:rsid w:val="00064644"/>
    <w:pPr>
      <w:spacing w:before="100" w:beforeAutospacing="1" w:after="100" w:afterAutospacing="1"/>
    </w:pPr>
  </w:style>
  <w:style w:type="character" w:customStyle="1" w:styleId="NormaleWebCarattere">
    <w:name w:val="Normale (Web) Carattere"/>
    <w:aliases w:val=" webb Carattere"/>
    <w:basedOn w:val="Carpredefinitoparagrafo"/>
    <w:link w:val="NormaleWeb"/>
    <w:uiPriority w:val="99"/>
    <w:rsid w:val="00064644"/>
    <w:rPr>
      <w:rFonts w:ascii="Times New Roman" w:eastAsia="Times New Roman" w:hAnsi="Times New Roman" w:cs="Times New Roman"/>
      <w:lang w:eastAsia="it-IT"/>
    </w:rPr>
  </w:style>
  <w:style w:type="paragraph" w:styleId="Paragrafoelenco">
    <w:name w:val="List Paragraph"/>
    <w:basedOn w:val="Normale"/>
    <w:uiPriority w:val="34"/>
    <w:qFormat/>
    <w:rsid w:val="00064644"/>
    <w:pPr>
      <w:ind w:left="720"/>
      <w:contextualSpacing/>
    </w:pPr>
    <w:rPr>
      <w:rFonts w:eastAsiaTheme="minorEastAsia"/>
      <w:lang w:eastAsia="ja-JP"/>
    </w:rPr>
  </w:style>
  <w:style w:type="paragraph" w:customStyle="1" w:styleId="Default">
    <w:name w:val="Default"/>
    <w:rsid w:val="00064644"/>
    <w:pPr>
      <w:autoSpaceDE w:val="0"/>
      <w:autoSpaceDN w:val="0"/>
      <w:adjustRightInd w:val="0"/>
    </w:pPr>
    <w:rPr>
      <w:rFonts w:ascii="Arial" w:eastAsia="Times New Roman" w:hAnsi="Arial" w:cs="Arial"/>
      <w:color w:val="000000"/>
      <w:lang w:val="sv-SE"/>
    </w:rPr>
  </w:style>
  <w:style w:type="paragraph" w:styleId="Intestazione">
    <w:name w:val="header"/>
    <w:basedOn w:val="Normale"/>
    <w:link w:val="IntestazioneCarattere"/>
    <w:rsid w:val="00064644"/>
    <w:pPr>
      <w:tabs>
        <w:tab w:val="center" w:pos="4536"/>
        <w:tab w:val="right" w:pos="9072"/>
      </w:tabs>
    </w:pPr>
    <w:rPr>
      <w:caps/>
      <w:color w:val="000000" w:themeColor="text1"/>
      <w:sz w:val="14"/>
    </w:rPr>
  </w:style>
  <w:style w:type="character" w:customStyle="1" w:styleId="IntestazioneCarattere">
    <w:name w:val="Intestazione Carattere"/>
    <w:basedOn w:val="Carpredefinitoparagrafo"/>
    <w:link w:val="Intestazione"/>
    <w:rsid w:val="00064644"/>
    <w:rPr>
      <w:rFonts w:ascii="Times New Roman" w:eastAsia="Times New Roman" w:hAnsi="Times New Roman" w:cs="Times New Roman"/>
      <w:caps/>
      <w:color w:val="000000" w:themeColor="text1"/>
      <w:sz w:val="14"/>
      <w:lang w:eastAsia="it-IT"/>
    </w:rPr>
  </w:style>
  <w:style w:type="paragraph" w:customStyle="1" w:styleId="RubrikInnehll">
    <w:name w:val="Rubrik_Innehåll"/>
    <w:rsid w:val="00064644"/>
    <w:pPr>
      <w:spacing w:after="120" w:line="440" w:lineRule="atLeast"/>
    </w:pPr>
    <w:rPr>
      <w:rFonts w:ascii="Arial" w:eastAsia="Times New Roman" w:hAnsi="Arial" w:cs="Arial"/>
      <w:caps/>
      <w:sz w:val="30"/>
      <w:lang w:val="sv-SE" w:eastAsia="sv-SE"/>
    </w:rPr>
  </w:style>
  <w:style w:type="paragraph" w:styleId="Titolosommario">
    <w:name w:val="TOC Heading"/>
    <w:basedOn w:val="Titolo1"/>
    <w:next w:val="Normale"/>
    <w:uiPriority w:val="39"/>
    <w:unhideWhenUsed/>
    <w:qFormat/>
    <w:rsid w:val="00064644"/>
    <w:pPr>
      <w:spacing w:before="480" w:line="276" w:lineRule="auto"/>
      <w:outlineLvl w:val="9"/>
    </w:pPr>
    <w:rPr>
      <w:rFonts w:asciiTheme="majorHAnsi" w:eastAsiaTheme="majorEastAsia" w:hAnsiTheme="majorHAnsi" w:cstheme="majorBidi"/>
      <w:b/>
      <w:caps w:val="0"/>
      <w:color w:val="2F5496" w:themeColor="accent1" w:themeShade="BF"/>
      <w:kern w:val="0"/>
      <w:sz w:val="28"/>
      <w:szCs w:val="28"/>
    </w:rPr>
  </w:style>
  <w:style w:type="paragraph" w:styleId="Sommario2">
    <w:name w:val="toc 2"/>
    <w:basedOn w:val="Normale"/>
    <w:next w:val="Normale"/>
    <w:autoRedefine/>
    <w:uiPriority w:val="39"/>
    <w:unhideWhenUsed/>
    <w:rsid w:val="00064644"/>
    <w:pPr>
      <w:spacing w:before="120"/>
      <w:ind w:left="240"/>
    </w:pPr>
    <w:rPr>
      <w:rFonts w:asciiTheme="minorHAnsi" w:hAnsiTheme="minorHAnsi" w:cstheme="minorHAnsi"/>
      <w:b/>
      <w:bCs/>
      <w:sz w:val="22"/>
      <w:szCs w:val="22"/>
    </w:rPr>
  </w:style>
  <w:style w:type="paragraph" w:styleId="Sommario1">
    <w:name w:val="toc 1"/>
    <w:basedOn w:val="Normale"/>
    <w:next w:val="Normale"/>
    <w:autoRedefine/>
    <w:uiPriority w:val="39"/>
    <w:unhideWhenUsed/>
    <w:rsid w:val="00064644"/>
    <w:pPr>
      <w:spacing w:before="120"/>
    </w:pPr>
    <w:rPr>
      <w:rFonts w:asciiTheme="minorHAnsi" w:hAnsiTheme="minorHAnsi" w:cstheme="minorHAnsi"/>
      <w:b/>
      <w:bCs/>
      <w:i/>
      <w:iCs/>
    </w:rPr>
  </w:style>
  <w:style w:type="paragraph" w:styleId="Sommario3">
    <w:name w:val="toc 3"/>
    <w:basedOn w:val="Normale"/>
    <w:next w:val="Normale"/>
    <w:autoRedefine/>
    <w:uiPriority w:val="39"/>
    <w:unhideWhenUsed/>
    <w:rsid w:val="00064644"/>
    <w:pPr>
      <w:ind w:left="480"/>
    </w:pPr>
    <w:rPr>
      <w:rFonts w:asciiTheme="minorHAnsi" w:hAnsiTheme="minorHAnsi" w:cstheme="minorHAnsi"/>
      <w:sz w:val="20"/>
      <w:szCs w:val="20"/>
    </w:rPr>
  </w:style>
  <w:style w:type="paragraph" w:styleId="Sommario4">
    <w:name w:val="toc 4"/>
    <w:basedOn w:val="Normale"/>
    <w:next w:val="Normale"/>
    <w:autoRedefine/>
    <w:uiPriority w:val="39"/>
    <w:semiHidden/>
    <w:unhideWhenUsed/>
    <w:rsid w:val="00064644"/>
    <w:pPr>
      <w:ind w:left="720"/>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064644"/>
    <w:pPr>
      <w:ind w:left="96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064644"/>
    <w:pPr>
      <w:ind w:left="12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064644"/>
    <w:pPr>
      <w:ind w:left="144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064644"/>
    <w:pPr>
      <w:ind w:left="168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06464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carbonfootprintita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EFDD-4EAB-6F44-BA72-74E8D2CD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2585</Words>
  <Characters>14738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Ragazzo</dc:creator>
  <cp:keywords/>
  <dc:description/>
  <cp:lastModifiedBy>Marta Mancin</cp:lastModifiedBy>
  <cp:revision>2</cp:revision>
  <dcterms:created xsi:type="dcterms:W3CDTF">2021-11-22T14:29:00Z</dcterms:created>
  <dcterms:modified xsi:type="dcterms:W3CDTF">2021-11-23T10:35:00Z</dcterms:modified>
</cp:coreProperties>
</file>